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00" w:lineRule="auto"/>
        <w:rPr>
          <w:rFonts w:ascii="宋体" w:hAnsi="宋体"/>
          <w:b/>
        </w:rPr>
      </w:pPr>
      <w:bookmarkStart w:id="4" w:name="_GoBack"/>
      <w:bookmarkEnd w:id="4"/>
      <w:r>
        <w:rPr>
          <w:rFonts w:hint="eastAsia" w:ascii="宋体" w:hAnsi="宋体"/>
          <w:b/>
          <w:sz w:val="24"/>
        </w:rPr>
        <w:t>附件1：</w:t>
      </w:r>
      <w:r>
        <w:rPr>
          <w:rFonts w:hint="eastAsia" w:ascii="宋体" w:hAnsi="宋体" w:cs="黑体"/>
          <w:b/>
          <w:spacing w:val="3"/>
          <w:kern w:val="0"/>
          <w:sz w:val="25"/>
          <w:szCs w:val="25"/>
        </w:rPr>
        <w:t>资格审查条件</w:t>
      </w:r>
    </w:p>
    <w:p>
      <w:pPr>
        <w:autoSpaceDE w:val="0"/>
        <w:autoSpaceDN w:val="0"/>
        <w:spacing w:line="360" w:lineRule="auto"/>
        <w:jc w:val="center"/>
        <w:rPr>
          <w:rFonts w:ascii="宋体" w:hAnsi="宋体" w:cs="宋体"/>
          <w:b/>
          <w:spacing w:val="1"/>
          <w:kern w:val="0"/>
          <w:szCs w:val="21"/>
        </w:rPr>
      </w:pPr>
    </w:p>
    <w:p>
      <w:pPr>
        <w:autoSpaceDE w:val="0"/>
        <w:autoSpaceDN w:val="0"/>
        <w:spacing w:line="360" w:lineRule="auto"/>
        <w:jc w:val="center"/>
        <w:rPr>
          <w:rFonts w:ascii="宋体" w:hAnsi="宋体" w:cs="宋体"/>
          <w:b/>
          <w:spacing w:val="1"/>
          <w:kern w:val="0"/>
          <w:szCs w:val="21"/>
        </w:rPr>
      </w:pPr>
      <w:r>
        <w:rPr>
          <w:rFonts w:hint="eastAsia" w:ascii="宋体" w:hAnsi="宋体" w:cs="宋体"/>
          <w:b/>
          <w:spacing w:val="1"/>
          <w:kern w:val="0"/>
          <w:szCs w:val="21"/>
        </w:rPr>
        <w:t>附录</w:t>
      </w:r>
      <w:r>
        <w:rPr>
          <w:rFonts w:ascii="宋体" w:hAnsi="宋体" w:cs="宋体"/>
          <w:b/>
          <w:spacing w:val="1"/>
          <w:kern w:val="0"/>
          <w:szCs w:val="21"/>
        </w:rPr>
        <w:t>1</w:t>
      </w:r>
      <w:r>
        <w:rPr>
          <w:rFonts w:hint="eastAsia" w:ascii="宋体" w:hAnsi="宋体" w:cs="宋体"/>
          <w:b/>
          <w:spacing w:val="1"/>
          <w:kern w:val="0"/>
          <w:szCs w:val="21"/>
        </w:rPr>
        <w:t xml:space="preserve">  资格审查条件</w:t>
      </w:r>
      <w:r>
        <w:rPr>
          <w:rFonts w:ascii="宋体" w:hAnsi="宋体" w:cs="宋体"/>
          <w:b/>
          <w:spacing w:val="1"/>
          <w:kern w:val="0"/>
          <w:szCs w:val="21"/>
        </w:rPr>
        <w:t>(</w:t>
      </w:r>
      <w:r>
        <w:rPr>
          <w:rFonts w:hint="eastAsia" w:ascii="宋体" w:hAnsi="宋体" w:cs="宋体"/>
          <w:b/>
          <w:spacing w:val="1"/>
          <w:kern w:val="0"/>
          <w:szCs w:val="21"/>
        </w:rPr>
        <w:t>资质最低条件</w:t>
      </w:r>
      <w:r>
        <w:rPr>
          <w:rFonts w:ascii="宋体" w:hAnsi="宋体" w:cs="宋体"/>
          <w:b/>
          <w:spacing w:val="1"/>
          <w:kern w:val="0"/>
          <w:szCs w:val="21"/>
        </w:rPr>
        <w:t>)</w:t>
      </w:r>
    </w:p>
    <w:tbl>
      <w:tblPr>
        <w:tblStyle w:val="3"/>
        <w:tblW w:w="5229"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891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5000" w:type="pct"/>
            <w:tcBorders>
              <w:top w:val="single" w:color="auto" w:sz="2" w:space="0"/>
              <w:left w:val="single" w:color="auto" w:sz="2" w:space="0"/>
              <w:bottom w:val="single" w:color="auto" w:sz="6" w:space="0"/>
              <w:right w:val="single" w:color="auto" w:sz="2" w:space="0"/>
            </w:tcBorders>
            <w:vAlign w:val="center"/>
          </w:tcPr>
          <w:p>
            <w:pPr>
              <w:jc w:val="center"/>
              <w:rPr>
                <w:rFonts w:ascii="宋体" w:hAnsi="宋体"/>
                <w:b/>
                <w:szCs w:val="21"/>
              </w:rPr>
            </w:pPr>
            <w:r>
              <w:rPr>
                <w:rFonts w:hint="eastAsia" w:ascii="宋体" w:hAnsi="宋体"/>
                <w:b/>
                <w:szCs w:val="21"/>
              </w:rPr>
              <w:t>资质要求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5000" w:type="pct"/>
            <w:tcBorders>
              <w:top w:val="single" w:color="auto" w:sz="2" w:space="0"/>
              <w:left w:val="single" w:color="auto" w:sz="2" w:space="0"/>
              <w:bottom w:val="single" w:color="auto" w:sz="6" w:space="0"/>
              <w:right w:val="single" w:color="auto" w:sz="2" w:space="0"/>
            </w:tcBorders>
            <w:vAlign w:val="center"/>
          </w:tcPr>
          <w:p>
            <w:pPr>
              <w:ind w:firstLine="420" w:firstLineChars="200"/>
              <w:jc w:val="left"/>
              <w:rPr>
                <w:rFonts w:ascii="宋体" w:hAnsi="宋体"/>
                <w:szCs w:val="21"/>
              </w:rPr>
            </w:pPr>
            <w:r>
              <w:rPr>
                <w:rFonts w:hint="eastAsia" w:ascii="宋体" w:hAnsi="宋体"/>
                <w:szCs w:val="21"/>
              </w:rPr>
              <w:t>具备有效营业执照（</w:t>
            </w:r>
            <w:r>
              <w:rPr>
                <w:rFonts w:ascii="宋体" w:hAnsi="宋体"/>
                <w:szCs w:val="21"/>
              </w:rPr>
              <w:t>或有效的事业单位法人证书</w:t>
            </w:r>
            <w:r>
              <w:rPr>
                <w:rFonts w:hint="eastAsia" w:ascii="宋体" w:hAnsi="宋体"/>
                <w:szCs w:val="21"/>
              </w:rPr>
              <w:t>），同时具有交通运输部公路工程综合甲级试验检测资质证书（独立法人单位下属的非独立法人检测机构具有检测资质的，视为该独立法人单位具有相应资质）和省级及以上技术监督部门颁发的计量认证合格证书。</w:t>
            </w:r>
          </w:p>
        </w:tc>
      </w:tr>
    </w:tbl>
    <w:p>
      <w:pPr>
        <w:autoSpaceDE w:val="0"/>
        <w:autoSpaceDN w:val="0"/>
        <w:spacing w:line="360" w:lineRule="auto"/>
        <w:jc w:val="center"/>
        <w:rPr>
          <w:rFonts w:ascii="宋体" w:hAnsi="宋体" w:cs="宋体"/>
          <w:b/>
          <w:spacing w:val="1"/>
          <w:kern w:val="0"/>
          <w:szCs w:val="21"/>
        </w:rPr>
      </w:pPr>
    </w:p>
    <w:p>
      <w:pPr>
        <w:autoSpaceDE w:val="0"/>
        <w:autoSpaceDN w:val="0"/>
        <w:spacing w:line="360" w:lineRule="auto"/>
        <w:jc w:val="center"/>
        <w:rPr>
          <w:rFonts w:ascii="宋体" w:hAnsi="宋体" w:cs="宋体"/>
          <w:kern w:val="0"/>
          <w:szCs w:val="21"/>
        </w:rPr>
      </w:pPr>
      <w:bookmarkStart w:id="0" w:name="_Hlk75785169"/>
      <w:r>
        <w:rPr>
          <w:rFonts w:hint="eastAsia" w:ascii="宋体" w:hAnsi="宋体" w:cs="宋体"/>
          <w:b/>
          <w:spacing w:val="1"/>
          <w:kern w:val="0"/>
          <w:szCs w:val="21"/>
        </w:rPr>
        <w:t>附录</w:t>
      </w:r>
      <w:r>
        <w:rPr>
          <w:rFonts w:ascii="宋体" w:hAnsi="宋体" w:cs="宋体"/>
          <w:b/>
          <w:spacing w:val="1"/>
          <w:kern w:val="0"/>
          <w:szCs w:val="21"/>
        </w:rPr>
        <w:t>2</w:t>
      </w:r>
      <w:r>
        <w:rPr>
          <w:rFonts w:hint="eastAsia" w:ascii="宋体" w:hAnsi="宋体" w:cs="宋体"/>
          <w:b/>
          <w:spacing w:val="1"/>
          <w:kern w:val="0"/>
          <w:szCs w:val="21"/>
        </w:rPr>
        <w:t xml:space="preserve">  资</w:t>
      </w:r>
      <w:r>
        <w:rPr>
          <w:rFonts w:hint="eastAsia" w:ascii="宋体" w:hAnsi="宋体" w:cs="宋体"/>
          <w:b/>
          <w:kern w:val="0"/>
          <w:szCs w:val="21"/>
        </w:rPr>
        <w:t>格审查条件</w:t>
      </w:r>
      <w:r>
        <w:rPr>
          <w:rFonts w:ascii="宋体" w:hAnsi="宋体" w:cs="宋体"/>
          <w:b/>
          <w:kern w:val="0"/>
          <w:szCs w:val="21"/>
        </w:rPr>
        <w:t>(</w:t>
      </w:r>
      <w:r>
        <w:rPr>
          <w:rFonts w:hint="eastAsia" w:ascii="宋体" w:hAnsi="宋体" w:cs="宋体"/>
          <w:b/>
          <w:kern w:val="0"/>
          <w:szCs w:val="21"/>
        </w:rPr>
        <w:t>业绩最低要求</w:t>
      </w:r>
      <w:r>
        <w:rPr>
          <w:rFonts w:ascii="宋体" w:hAnsi="宋体" w:cs="宋体"/>
          <w:b/>
          <w:kern w:val="0"/>
          <w:szCs w:val="21"/>
        </w:rPr>
        <w:t>)</w:t>
      </w:r>
    </w:p>
    <w:bookmarkEnd w:id="0"/>
    <w:tbl>
      <w:tblPr>
        <w:tblStyle w:val="3"/>
        <w:tblW w:w="522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6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9" w:hRule="atLeast"/>
          <w:jc w:val="center"/>
        </w:trPr>
        <w:tc>
          <w:tcPr>
            <w:tcW w:w="5000" w:type="pct"/>
            <w:vAlign w:val="center"/>
          </w:tcPr>
          <w:p>
            <w:pPr>
              <w:autoSpaceDE w:val="0"/>
              <w:autoSpaceDN w:val="0"/>
              <w:spacing w:line="360" w:lineRule="auto"/>
              <w:jc w:val="center"/>
              <w:rPr>
                <w:rFonts w:ascii="宋体" w:hAnsi="宋体" w:cs="宋体"/>
                <w:b/>
                <w:kern w:val="0"/>
                <w:szCs w:val="21"/>
              </w:rPr>
            </w:pPr>
            <w:r>
              <w:rPr>
                <w:rFonts w:hint="eastAsia" w:ascii="宋体" w:hAnsi="宋体" w:cs="宋体"/>
                <w:b/>
                <w:kern w:val="0"/>
                <w:szCs w:val="21"/>
              </w:rPr>
              <w:t>业绩要求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9" w:hRule="atLeast"/>
          <w:jc w:val="center"/>
        </w:trPr>
        <w:tc>
          <w:tcPr>
            <w:tcW w:w="5000" w:type="pct"/>
            <w:vAlign w:val="center"/>
          </w:tcPr>
          <w:p>
            <w:pPr>
              <w:spacing w:line="360" w:lineRule="auto"/>
              <w:ind w:firstLine="420" w:firstLineChars="200"/>
              <w:jc w:val="left"/>
              <w:rPr>
                <w:rFonts w:ascii="宋体" w:hAnsi="宋体"/>
                <w:szCs w:val="21"/>
              </w:rPr>
            </w:pPr>
            <w:bookmarkStart w:id="1" w:name="_Hlk75785185"/>
            <w:r>
              <w:rPr>
                <w:rFonts w:hint="eastAsia" w:ascii="宋体" w:hAnsi="宋体"/>
                <w:szCs w:val="21"/>
              </w:rPr>
              <w:t>近5年内（201</w:t>
            </w:r>
            <w:r>
              <w:rPr>
                <w:rFonts w:ascii="宋体" w:hAnsi="宋体"/>
                <w:szCs w:val="21"/>
              </w:rPr>
              <w:t>6</w:t>
            </w:r>
            <w:r>
              <w:rPr>
                <w:rFonts w:hint="eastAsia" w:ascii="宋体" w:hAnsi="宋体"/>
                <w:szCs w:val="21"/>
              </w:rPr>
              <w:t>年7月1日至今，以检测报告出具的时间为准）完成过1项</w:t>
            </w:r>
            <w:bookmarkStart w:id="2" w:name="_Hlk523426108"/>
            <w:r>
              <w:rPr>
                <w:rFonts w:hint="eastAsia" w:ascii="宋体" w:hAnsi="宋体"/>
                <w:szCs w:val="21"/>
              </w:rPr>
              <w:t>高速公路项目检测业绩</w:t>
            </w:r>
            <w:bookmarkEnd w:id="2"/>
            <w:r>
              <w:rPr>
                <w:rFonts w:hint="eastAsia" w:ascii="宋体" w:hAnsi="宋体"/>
                <w:szCs w:val="21"/>
              </w:rPr>
              <w:t>。</w:t>
            </w:r>
            <w:bookmarkEnd w:id="1"/>
          </w:p>
        </w:tc>
      </w:tr>
    </w:tbl>
    <w:p>
      <w:pPr>
        <w:autoSpaceDE w:val="0"/>
        <w:autoSpaceDN w:val="0"/>
        <w:spacing w:line="360" w:lineRule="auto"/>
        <w:jc w:val="center"/>
        <w:rPr>
          <w:rFonts w:ascii="宋体" w:hAnsi="宋体" w:cs="黑体"/>
          <w:b/>
          <w:spacing w:val="1"/>
          <w:kern w:val="0"/>
          <w:szCs w:val="21"/>
        </w:rPr>
      </w:pPr>
    </w:p>
    <w:p>
      <w:pPr>
        <w:autoSpaceDE w:val="0"/>
        <w:autoSpaceDN w:val="0"/>
        <w:spacing w:line="360" w:lineRule="auto"/>
        <w:jc w:val="center"/>
        <w:rPr>
          <w:rFonts w:ascii="宋体" w:hAnsi="宋体" w:cs="黑体"/>
          <w:kern w:val="0"/>
          <w:szCs w:val="21"/>
        </w:rPr>
      </w:pPr>
      <w:r>
        <w:rPr>
          <w:rFonts w:hint="eastAsia" w:ascii="宋体" w:hAnsi="宋体" w:cs="黑体"/>
          <w:b/>
          <w:spacing w:val="1"/>
          <w:kern w:val="0"/>
          <w:szCs w:val="21"/>
        </w:rPr>
        <w:t>附录</w:t>
      </w:r>
      <w:r>
        <w:rPr>
          <w:rFonts w:ascii="宋体" w:hAnsi="宋体" w:cs="黑体"/>
          <w:b/>
          <w:spacing w:val="1"/>
          <w:kern w:val="0"/>
          <w:szCs w:val="21"/>
        </w:rPr>
        <w:t>3</w:t>
      </w:r>
      <w:r>
        <w:rPr>
          <w:rFonts w:hint="eastAsia" w:ascii="宋体" w:hAnsi="宋体" w:cs="黑体"/>
          <w:b/>
          <w:spacing w:val="1"/>
          <w:kern w:val="0"/>
          <w:szCs w:val="21"/>
        </w:rPr>
        <w:t xml:space="preserve">  资</w:t>
      </w:r>
      <w:r>
        <w:rPr>
          <w:rFonts w:hint="eastAsia" w:ascii="宋体" w:hAnsi="宋体" w:cs="宋体"/>
          <w:b/>
          <w:kern w:val="0"/>
          <w:szCs w:val="21"/>
        </w:rPr>
        <w:t>格审查条件</w:t>
      </w:r>
      <w:r>
        <w:rPr>
          <w:rFonts w:ascii="宋体" w:hAnsi="宋体" w:cs="宋体"/>
          <w:b/>
          <w:kern w:val="0"/>
          <w:szCs w:val="21"/>
        </w:rPr>
        <w:t>(</w:t>
      </w:r>
      <w:r>
        <w:rPr>
          <w:rFonts w:hint="eastAsia" w:ascii="宋体" w:hAnsi="宋体" w:cs="宋体"/>
          <w:b/>
          <w:kern w:val="0"/>
          <w:szCs w:val="21"/>
        </w:rPr>
        <w:t>信誉最低要求</w:t>
      </w:r>
      <w:r>
        <w:rPr>
          <w:rFonts w:ascii="宋体" w:hAnsi="宋体" w:cs="宋体"/>
          <w:b/>
          <w:kern w:val="0"/>
          <w:szCs w:val="21"/>
        </w:rPr>
        <w:t>)</w:t>
      </w:r>
    </w:p>
    <w:tbl>
      <w:tblPr>
        <w:tblStyle w:val="3"/>
        <w:tblW w:w="523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7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3" w:hRule="atLeast"/>
          <w:jc w:val="center"/>
        </w:trPr>
        <w:tc>
          <w:tcPr>
            <w:tcW w:w="5000" w:type="pct"/>
            <w:vAlign w:val="center"/>
          </w:tcPr>
          <w:p>
            <w:pPr>
              <w:autoSpaceDE w:val="0"/>
              <w:autoSpaceDN w:val="0"/>
              <w:jc w:val="center"/>
              <w:rPr>
                <w:rFonts w:ascii="宋体" w:hAnsi="宋体" w:cs="宋体"/>
                <w:b/>
                <w:kern w:val="0"/>
                <w:szCs w:val="21"/>
              </w:rPr>
            </w:pPr>
            <w:r>
              <w:rPr>
                <w:rFonts w:hint="eastAsia" w:ascii="宋体" w:hAnsi="宋体" w:cs="宋体"/>
                <w:b/>
                <w:kern w:val="0"/>
                <w:szCs w:val="21"/>
              </w:rPr>
              <w:t>信誉要求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2" w:hRule="atLeast"/>
          <w:jc w:val="center"/>
        </w:trPr>
        <w:tc>
          <w:tcPr>
            <w:tcW w:w="5000" w:type="pct"/>
            <w:vMerge w:val="restart"/>
            <w:vAlign w:val="center"/>
          </w:tcPr>
          <w:p>
            <w:pPr>
              <w:autoSpaceDE w:val="0"/>
              <w:autoSpaceDN w:val="0"/>
              <w:spacing w:line="360" w:lineRule="auto"/>
              <w:ind w:firstLine="420" w:firstLineChars="200"/>
              <w:rPr>
                <w:rFonts w:ascii="宋体" w:hAnsi="宋体"/>
                <w:szCs w:val="21"/>
              </w:rPr>
            </w:pPr>
            <w:r>
              <w:rPr>
                <w:rFonts w:ascii="宋体" w:hAnsi="宋体"/>
                <w:szCs w:val="21"/>
              </w:rPr>
              <w:t>投标人在近</w:t>
            </w:r>
            <w:r>
              <w:rPr>
                <w:rFonts w:hint="eastAsia" w:ascii="宋体" w:hAnsi="宋体"/>
                <w:szCs w:val="21"/>
              </w:rPr>
              <w:t>1</w:t>
            </w:r>
            <w:r>
              <w:rPr>
                <w:rFonts w:ascii="宋体" w:hAnsi="宋体"/>
                <w:szCs w:val="21"/>
              </w:rPr>
              <w:t>年</w:t>
            </w:r>
            <w:r>
              <w:rPr>
                <w:rFonts w:hint="eastAsia" w:ascii="宋体" w:hAnsi="宋体"/>
                <w:szCs w:val="21"/>
              </w:rPr>
              <w:t>中（</w:t>
            </w:r>
            <w:r>
              <w:rPr>
                <w:rFonts w:ascii="宋体" w:hAnsi="宋体"/>
                <w:szCs w:val="21"/>
              </w:rPr>
              <w:t>2020年</w:t>
            </w:r>
            <w:r>
              <w:rPr>
                <w:rFonts w:hint="eastAsia" w:ascii="宋体" w:hAnsi="宋体"/>
                <w:szCs w:val="21"/>
              </w:rPr>
              <w:t>7</w:t>
            </w:r>
            <w:r>
              <w:rPr>
                <w:rFonts w:ascii="宋体" w:hAnsi="宋体"/>
                <w:szCs w:val="21"/>
              </w:rPr>
              <w:t>月1日至今</w:t>
            </w:r>
            <w:r>
              <w:rPr>
                <w:rFonts w:hint="eastAsia" w:ascii="宋体" w:hAnsi="宋体"/>
                <w:szCs w:val="21"/>
              </w:rPr>
              <w:t>）不曾在公路检测项目中违约而被驱逐或因投标人自身的原因而使公路工程检测合同被解除。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2" w:hRule="atLeast"/>
          <w:jc w:val="center"/>
        </w:trPr>
        <w:tc>
          <w:tcPr>
            <w:tcW w:w="5000" w:type="pct"/>
            <w:vMerge w:val="continue"/>
            <w:vAlign w:val="center"/>
          </w:tcPr>
          <w:p>
            <w:pPr>
              <w:autoSpaceDE w:val="0"/>
              <w:autoSpaceDN w:val="0"/>
              <w:spacing w:line="360" w:lineRule="auto"/>
              <w:jc w:val="center"/>
              <w:rPr>
                <w:rFonts w:ascii="宋体" w:hAnsi="宋体"/>
                <w:szCs w:val="21"/>
              </w:rPr>
            </w:pPr>
          </w:p>
        </w:tc>
      </w:tr>
    </w:tbl>
    <w:p>
      <w:pPr>
        <w:autoSpaceDE w:val="0"/>
        <w:autoSpaceDN w:val="0"/>
        <w:spacing w:line="360" w:lineRule="auto"/>
        <w:jc w:val="center"/>
        <w:rPr>
          <w:rFonts w:ascii="宋体" w:hAnsi="宋体" w:cs="宋体"/>
          <w:b/>
          <w:kern w:val="0"/>
          <w:szCs w:val="21"/>
        </w:rPr>
      </w:pPr>
    </w:p>
    <w:p>
      <w:pPr>
        <w:autoSpaceDE w:val="0"/>
        <w:autoSpaceDN w:val="0"/>
        <w:spacing w:line="360" w:lineRule="auto"/>
        <w:jc w:val="center"/>
        <w:rPr>
          <w:rFonts w:ascii="宋体" w:hAnsi="宋体" w:cs="宋体"/>
          <w:b/>
          <w:kern w:val="0"/>
          <w:szCs w:val="21"/>
        </w:rPr>
      </w:pPr>
      <w:r>
        <w:rPr>
          <w:rFonts w:hint="eastAsia" w:ascii="宋体" w:hAnsi="宋体" w:cs="宋体"/>
          <w:b/>
          <w:kern w:val="0"/>
          <w:szCs w:val="21"/>
        </w:rPr>
        <w:t>附录</w:t>
      </w:r>
      <w:r>
        <w:rPr>
          <w:rFonts w:ascii="宋体" w:hAnsi="宋体" w:cs="宋体"/>
          <w:b/>
          <w:kern w:val="0"/>
          <w:szCs w:val="21"/>
        </w:rPr>
        <w:t xml:space="preserve">4 </w:t>
      </w:r>
      <w:r>
        <w:rPr>
          <w:rFonts w:hint="eastAsia" w:ascii="宋体" w:hAnsi="宋体" w:cs="宋体"/>
          <w:b/>
          <w:kern w:val="0"/>
          <w:szCs w:val="21"/>
        </w:rPr>
        <w:t xml:space="preserve"> 资格审查条件</w:t>
      </w:r>
      <w:r>
        <w:rPr>
          <w:rFonts w:ascii="宋体" w:hAnsi="宋体" w:cs="宋体"/>
          <w:b/>
          <w:kern w:val="0"/>
          <w:szCs w:val="21"/>
        </w:rPr>
        <w:t>(</w:t>
      </w:r>
      <w:r>
        <w:rPr>
          <w:rFonts w:hint="eastAsia" w:ascii="宋体" w:hAnsi="宋体" w:cs="宋体"/>
          <w:b/>
          <w:kern w:val="0"/>
          <w:szCs w:val="21"/>
        </w:rPr>
        <w:t>主要人员最低要求</w:t>
      </w:r>
      <w:r>
        <w:rPr>
          <w:rFonts w:ascii="宋体" w:hAnsi="宋体" w:cs="宋体"/>
          <w:b/>
          <w:kern w:val="0"/>
          <w:szCs w:val="21"/>
        </w:rPr>
        <w:t>)</w:t>
      </w:r>
    </w:p>
    <w:tbl>
      <w:tblPr>
        <w:tblStyle w:val="3"/>
        <w:tblW w:w="52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684"/>
        <w:gridCol w:w="4377"/>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blHeader/>
        </w:trPr>
        <w:tc>
          <w:tcPr>
            <w:tcW w:w="687" w:type="pct"/>
            <w:vAlign w:val="center"/>
          </w:tcPr>
          <w:p>
            <w:pPr>
              <w:jc w:val="center"/>
              <w:rPr>
                <w:rFonts w:ascii="宋体" w:hAnsi="宋体"/>
                <w:szCs w:val="21"/>
              </w:rPr>
            </w:pPr>
            <w:r>
              <w:rPr>
                <w:rFonts w:hint="eastAsia" w:ascii="宋体" w:hAnsi="宋体"/>
                <w:szCs w:val="21"/>
              </w:rPr>
              <w:t>人 员</w:t>
            </w:r>
          </w:p>
        </w:tc>
        <w:tc>
          <w:tcPr>
            <w:tcW w:w="383" w:type="pct"/>
            <w:vAlign w:val="center"/>
          </w:tcPr>
          <w:p>
            <w:pPr>
              <w:jc w:val="center"/>
              <w:rPr>
                <w:rFonts w:ascii="宋体" w:hAnsi="宋体"/>
                <w:szCs w:val="21"/>
              </w:rPr>
            </w:pPr>
            <w:r>
              <w:rPr>
                <w:rFonts w:hint="eastAsia" w:ascii="宋体" w:hAnsi="宋体"/>
                <w:szCs w:val="21"/>
              </w:rPr>
              <w:t>数量</w:t>
            </w:r>
          </w:p>
        </w:tc>
        <w:tc>
          <w:tcPr>
            <w:tcW w:w="2451" w:type="pct"/>
            <w:vAlign w:val="center"/>
          </w:tcPr>
          <w:p>
            <w:pPr>
              <w:jc w:val="center"/>
              <w:rPr>
                <w:rFonts w:ascii="宋体" w:hAnsi="宋体"/>
                <w:szCs w:val="21"/>
              </w:rPr>
            </w:pPr>
            <w:r>
              <w:rPr>
                <w:rFonts w:hint="eastAsia" w:ascii="宋体" w:hAnsi="宋体"/>
                <w:szCs w:val="21"/>
              </w:rPr>
              <w:t>资 格 标 准</w:t>
            </w:r>
          </w:p>
        </w:tc>
        <w:tc>
          <w:tcPr>
            <w:tcW w:w="1479" w:type="pct"/>
            <w:vAlign w:val="center"/>
          </w:tcPr>
          <w:p>
            <w:pPr>
              <w:jc w:val="center"/>
              <w:rPr>
                <w:rFonts w:ascii="宋体" w:hAnsi="宋体"/>
                <w:szCs w:val="21"/>
              </w:rPr>
            </w:pPr>
            <w:r>
              <w:rPr>
                <w:rFonts w:hint="eastAsia" w:ascii="宋体" w:hAnsi="宋体"/>
                <w:szCs w:val="21"/>
              </w:rPr>
              <w:t>在岗</w:t>
            </w:r>
            <w:r>
              <w:rPr>
                <w:rFonts w:ascii="宋体" w:hAnsi="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6" w:hRule="atLeast"/>
        </w:trPr>
        <w:tc>
          <w:tcPr>
            <w:tcW w:w="687" w:type="pct"/>
            <w:vAlign w:val="center"/>
          </w:tcPr>
          <w:p>
            <w:pPr>
              <w:jc w:val="center"/>
              <w:rPr>
                <w:rFonts w:ascii="宋体" w:hAnsi="宋体"/>
                <w:szCs w:val="21"/>
              </w:rPr>
            </w:pPr>
            <w:r>
              <w:rPr>
                <w:rFonts w:hint="eastAsia" w:ascii="宋体" w:hAnsi="宋体"/>
                <w:szCs w:val="21"/>
              </w:rPr>
              <w:t>项目负责人</w:t>
            </w:r>
          </w:p>
        </w:tc>
        <w:tc>
          <w:tcPr>
            <w:tcW w:w="383" w:type="pct"/>
            <w:vAlign w:val="center"/>
          </w:tcPr>
          <w:p>
            <w:pPr>
              <w:jc w:val="center"/>
              <w:rPr>
                <w:rFonts w:ascii="宋体" w:hAnsi="宋体"/>
                <w:szCs w:val="21"/>
              </w:rPr>
            </w:pPr>
            <w:r>
              <w:rPr>
                <w:rFonts w:hint="eastAsia" w:ascii="宋体" w:hAnsi="宋体"/>
                <w:szCs w:val="21"/>
              </w:rPr>
              <w:t>1</w:t>
            </w:r>
          </w:p>
        </w:tc>
        <w:tc>
          <w:tcPr>
            <w:tcW w:w="2451" w:type="pct"/>
            <w:vAlign w:val="center"/>
          </w:tcPr>
          <w:p>
            <w:pPr>
              <w:spacing w:line="360" w:lineRule="auto"/>
              <w:ind w:firstLine="420" w:firstLineChars="200"/>
              <w:rPr>
                <w:rFonts w:ascii="宋体" w:hAnsi="宋体"/>
                <w:szCs w:val="21"/>
              </w:rPr>
            </w:pPr>
            <w:r>
              <w:rPr>
                <w:rFonts w:hint="eastAsia" w:ascii="宋体" w:hAnsi="宋体"/>
                <w:szCs w:val="21"/>
              </w:rPr>
              <w:t>工程师，具有交通运输部（原交通部）颁发的公路工程试验检测</w:t>
            </w:r>
            <w:r>
              <w:rPr>
                <w:rFonts w:ascii="宋体" w:hAnsi="宋体"/>
                <w:szCs w:val="21"/>
              </w:rPr>
              <w:t>工程师</w:t>
            </w:r>
            <w:r>
              <w:rPr>
                <w:rFonts w:hint="eastAsia" w:ascii="宋体" w:hAnsi="宋体"/>
                <w:szCs w:val="21"/>
              </w:rPr>
              <w:t>证书；近5年内（</w:t>
            </w:r>
            <w:r>
              <w:rPr>
                <w:rFonts w:ascii="宋体" w:hAnsi="宋体"/>
                <w:szCs w:val="21"/>
              </w:rPr>
              <w:t>20</w:t>
            </w:r>
            <w:r>
              <w:rPr>
                <w:rFonts w:hint="eastAsia" w:ascii="宋体" w:hAnsi="宋体"/>
                <w:szCs w:val="21"/>
              </w:rPr>
              <w:t>1</w:t>
            </w:r>
            <w:r>
              <w:rPr>
                <w:rFonts w:ascii="宋体" w:hAnsi="宋体"/>
                <w:szCs w:val="21"/>
              </w:rPr>
              <w:t>6年</w:t>
            </w:r>
            <w:r>
              <w:rPr>
                <w:rFonts w:hint="eastAsia" w:ascii="宋体" w:hAnsi="宋体"/>
                <w:szCs w:val="21"/>
              </w:rPr>
              <w:t>7</w:t>
            </w:r>
            <w:r>
              <w:rPr>
                <w:rFonts w:ascii="宋体" w:hAnsi="宋体"/>
                <w:szCs w:val="21"/>
              </w:rPr>
              <w:t>月1日至今</w:t>
            </w:r>
            <w:r>
              <w:rPr>
                <w:rFonts w:hint="eastAsia" w:ascii="宋体" w:hAnsi="宋体"/>
                <w:szCs w:val="21"/>
              </w:rPr>
              <w:t>，以检测报告出具的时间为准）担任过1项高速公路检测项目的项目负责人。</w:t>
            </w:r>
          </w:p>
        </w:tc>
        <w:tc>
          <w:tcPr>
            <w:tcW w:w="1479" w:type="pct"/>
            <w:vAlign w:val="center"/>
          </w:tcPr>
          <w:p>
            <w:pPr>
              <w:spacing w:line="360" w:lineRule="auto"/>
              <w:jc w:val="left"/>
              <w:rPr>
                <w:rFonts w:ascii="宋体" w:hAnsi="宋体"/>
                <w:szCs w:val="21"/>
              </w:rPr>
            </w:pPr>
            <w:r>
              <w:rPr>
                <w:rFonts w:ascii="宋体" w:hAnsi="宋体"/>
                <w:szCs w:val="21"/>
              </w:rPr>
              <w:t>指目前未在其他项目上任职，或虽在其他项目上任职但本项目中标后能够从该项目撤离</w:t>
            </w:r>
          </w:p>
        </w:tc>
      </w:tr>
    </w:tbl>
    <w:p>
      <w:pPr>
        <w:autoSpaceDE w:val="0"/>
        <w:autoSpaceDN w:val="0"/>
        <w:adjustRightInd w:val="0"/>
        <w:spacing w:line="336" w:lineRule="exact"/>
        <w:jc w:val="center"/>
        <w:rPr>
          <w:rFonts w:ascii="宋体" w:hAnsi="宋体"/>
          <w:szCs w:val="21"/>
        </w:rPr>
      </w:pPr>
    </w:p>
    <w:p>
      <w:pPr>
        <w:adjustRightInd w:val="0"/>
        <w:snapToGrid w:val="0"/>
        <w:spacing w:before="156" w:beforeLines="50" w:line="300" w:lineRule="auto"/>
        <w:ind w:left="1738" w:leftChars="256" w:hanging="1200" w:hangingChars="500"/>
        <w:jc w:val="left"/>
        <w:rPr>
          <w:rFonts w:ascii="宋体" w:hAnsi="宋体"/>
          <w:b/>
          <w:sz w:val="24"/>
        </w:rPr>
      </w:pPr>
      <w:r>
        <w:rPr>
          <w:rFonts w:ascii="宋体" w:hAnsi="宋体"/>
          <w:sz w:val="24"/>
        </w:rPr>
        <w:br w:type="page"/>
      </w:r>
      <w:r>
        <w:rPr>
          <w:rFonts w:hint="eastAsia" w:ascii="宋体" w:hAnsi="宋体"/>
          <w:b/>
          <w:sz w:val="24"/>
        </w:rPr>
        <w:t>附件2：投资参股的关联企业情况表</w:t>
      </w:r>
      <w:bookmarkStart w:id="3" w:name="_Hlk503261158"/>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69" w:hRule="atLeast"/>
          <w:jc w:val="center"/>
        </w:trPr>
        <w:tc>
          <w:tcPr>
            <w:tcW w:w="8835" w:type="dxa"/>
          </w:tcPr>
          <w:p>
            <w:pPr>
              <w:adjustRightInd w:val="0"/>
              <w:snapToGrid w:val="0"/>
              <w:spacing w:line="480" w:lineRule="auto"/>
              <w:rPr>
                <w:rFonts w:ascii="宋体" w:hAnsi="宋体"/>
                <w:sz w:val="24"/>
              </w:rPr>
            </w:pPr>
          </w:p>
          <w:p>
            <w:pPr>
              <w:adjustRightInd w:val="0"/>
              <w:snapToGrid w:val="0"/>
              <w:spacing w:line="480" w:lineRule="auto"/>
              <w:ind w:firstLine="480" w:firstLineChars="200"/>
              <w:rPr>
                <w:rFonts w:ascii="宋体" w:hAnsi="宋体"/>
                <w:sz w:val="24"/>
              </w:rPr>
            </w:pPr>
            <w:r>
              <w:rPr>
                <w:rFonts w:hint="eastAsia" w:ascii="宋体" w:hAnsi="宋体"/>
                <w:sz w:val="24"/>
              </w:rPr>
              <w:t>申请购买招标文件的企业应提供其投资参股的关联企业情况，包括以下内容：</w:t>
            </w:r>
          </w:p>
          <w:p>
            <w:pPr>
              <w:adjustRightInd w:val="0"/>
              <w:snapToGrid w:val="0"/>
              <w:spacing w:line="480" w:lineRule="auto"/>
              <w:ind w:firstLine="480" w:firstLineChars="200"/>
              <w:rPr>
                <w:rFonts w:ascii="宋体" w:hAnsi="宋体"/>
                <w:sz w:val="24"/>
              </w:rPr>
            </w:pPr>
            <w:r>
              <w:rPr>
                <w:rFonts w:hint="eastAsia" w:ascii="宋体" w:hAnsi="宋体"/>
                <w:sz w:val="24"/>
              </w:rPr>
              <w:t>(1)单位负责人为同一人的不同单位名单：</w:t>
            </w:r>
            <w:r>
              <w:rPr>
                <w:rFonts w:hint="eastAsia" w:ascii="宋体" w:hAnsi="宋体"/>
                <w:sz w:val="24"/>
                <w:u w:val="single"/>
              </w:rPr>
              <w:t xml:space="preserve">       </w:t>
            </w:r>
            <w:r>
              <w:rPr>
                <w:rFonts w:hint="eastAsia" w:ascii="宋体" w:hAnsi="宋体"/>
                <w:sz w:val="24"/>
              </w:rPr>
              <w:t>；</w:t>
            </w:r>
          </w:p>
          <w:p>
            <w:pPr>
              <w:adjustRightInd w:val="0"/>
              <w:snapToGrid w:val="0"/>
              <w:spacing w:line="480" w:lineRule="auto"/>
              <w:ind w:firstLine="480" w:firstLineChars="200"/>
              <w:rPr>
                <w:rFonts w:ascii="宋体" w:hAnsi="宋体"/>
                <w:sz w:val="24"/>
              </w:rPr>
            </w:pPr>
            <w:r>
              <w:rPr>
                <w:rFonts w:hint="eastAsia" w:ascii="宋体" w:hAnsi="宋体"/>
                <w:sz w:val="24"/>
              </w:rPr>
              <w:t>(2)存在控股、管理关系的不同单位名单：</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ind w:firstLine="480" w:firstLineChars="200"/>
              <w:rPr>
                <w:rFonts w:ascii="宋体" w:hAnsi="宋体"/>
                <w:sz w:val="24"/>
              </w:rPr>
            </w:pPr>
            <w:r>
              <w:rPr>
                <w:rFonts w:hint="eastAsia" w:ascii="宋体" w:hAnsi="宋体"/>
                <w:sz w:val="24"/>
              </w:rPr>
              <w:t>(3)本单位对其他单位存在控股、管理关系的名单：</w:t>
            </w:r>
            <w:r>
              <w:rPr>
                <w:rFonts w:hint="eastAsia" w:ascii="宋体" w:hAnsi="宋体"/>
                <w:sz w:val="24"/>
                <w:u w:val="single"/>
              </w:rPr>
              <w:t xml:space="preserve">       </w:t>
            </w:r>
            <w:r>
              <w:rPr>
                <w:rFonts w:hint="eastAsia" w:ascii="宋体" w:hAnsi="宋体"/>
                <w:sz w:val="24"/>
              </w:rPr>
              <w:t>。</w:t>
            </w:r>
          </w:p>
          <w:p>
            <w:pPr>
              <w:adjustRightInd w:val="0"/>
              <w:snapToGrid w:val="0"/>
              <w:spacing w:line="480" w:lineRule="auto"/>
              <w:ind w:firstLine="480" w:firstLineChars="200"/>
              <w:rPr>
                <w:rFonts w:ascii="宋体" w:hAnsi="宋体"/>
                <w:sz w:val="24"/>
              </w:rPr>
            </w:pPr>
          </w:p>
          <w:p>
            <w:pPr>
              <w:adjustRightInd w:val="0"/>
              <w:snapToGrid w:val="0"/>
              <w:spacing w:line="480" w:lineRule="auto"/>
              <w:ind w:firstLine="480" w:firstLineChars="200"/>
              <w:rPr>
                <w:rFonts w:ascii="宋体" w:hAnsi="宋体"/>
                <w:sz w:val="24"/>
              </w:rPr>
            </w:pPr>
          </w:p>
          <w:p>
            <w:pPr>
              <w:adjustRightInd w:val="0"/>
              <w:snapToGrid w:val="0"/>
              <w:spacing w:line="480" w:lineRule="auto"/>
              <w:ind w:right="480" w:firstLine="5160" w:firstLineChars="2150"/>
              <w:rPr>
                <w:rFonts w:ascii="宋体" w:hAnsi="宋体"/>
                <w:sz w:val="24"/>
              </w:rPr>
            </w:pPr>
            <w:r>
              <w:rPr>
                <w:rFonts w:hint="eastAsia" w:ascii="宋体" w:hAnsi="宋体"/>
                <w:sz w:val="24"/>
              </w:rPr>
              <w:t>（投标单位盖章）</w:t>
            </w:r>
          </w:p>
        </w:tc>
      </w:tr>
    </w:tbl>
    <w:p>
      <w:pPr>
        <w:adjustRightInd w:val="0"/>
        <w:snapToGrid w:val="0"/>
        <w:spacing w:line="480" w:lineRule="auto"/>
        <w:ind w:firstLine="142" w:firstLineChars="59"/>
        <w:rPr>
          <w:rFonts w:ascii="宋体" w:hAnsi="宋体"/>
          <w:b/>
          <w:sz w:val="24"/>
        </w:rPr>
      </w:pPr>
      <w:r>
        <w:rPr>
          <w:rFonts w:hint="eastAsia" w:ascii="宋体" w:hAnsi="宋体"/>
          <w:b/>
          <w:sz w:val="24"/>
        </w:rPr>
        <w:t>注：投标人应如实填报此表，否则因其投标影响招标公正性的，其相关投标均无效。</w:t>
      </w:r>
    </w:p>
    <w:bookmarkEnd w:id="3"/>
    <w:p>
      <w:pPr>
        <w:widowControl/>
        <w:jc w:val="left"/>
        <w:rPr>
          <w:rFonts w:ascii="宋体" w:hAnsi="宋体"/>
          <w:sz w:val="24"/>
        </w:rPr>
      </w:pPr>
      <w:r>
        <w:rPr>
          <w:rFonts w:ascii="宋体" w:hAnsi="宋体"/>
          <w:sz w:val="24"/>
        </w:rPr>
        <w:br w:type="page"/>
      </w:r>
    </w:p>
    <w:p>
      <w:pPr>
        <w:autoSpaceDE w:val="0"/>
        <w:autoSpaceDN w:val="0"/>
        <w:adjustRightInd w:val="0"/>
        <w:spacing w:line="336" w:lineRule="exact"/>
        <w:jc w:val="left"/>
        <w:rPr>
          <w:rFonts w:ascii="宋体" w:hAnsi="宋体" w:cs="黑体"/>
          <w:b/>
          <w:spacing w:val="1"/>
          <w:kern w:val="0"/>
          <w:sz w:val="36"/>
          <w:szCs w:val="36"/>
        </w:rPr>
      </w:pPr>
      <w:r>
        <w:rPr>
          <w:rFonts w:hint="eastAsia" w:ascii="宋体" w:hAnsi="宋体"/>
          <w:b/>
          <w:sz w:val="24"/>
        </w:rPr>
        <w:t>附件</w:t>
      </w:r>
      <w:r>
        <w:rPr>
          <w:rFonts w:ascii="宋体" w:hAnsi="宋体"/>
          <w:b/>
          <w:sz w:val="24"/>
        </w:rPr>
        <w:t>3</w:t>
      </w:r>
      <w:r>
        <w:rPr>
          <w:rFonts w:hint="eastAsia" w:ascii="宋体" w:hAnsi="宋体"/>
          <w:b/>
          <w:sz w:val="24"/>
        </w:rPr>
        <w:t>：评标办法</w:t>
      </w:r>
    </w:p>
    <w:p>
      <w:pPr>
        <w:autoSpaceDE w:val="0"/>
        <w:autoSpaceDN w:val="0"/>
        <w:adjustRightInd w:val="0"/>
        <w:spacing w:line="336" w:lineRule="exact"/>
        <w:jc w:val="center"/>
        <w:rPr>
          <w:rFonts w:ascii="宋体" w:hAnsi="宋体"/>
          <w:b/>
          <w:sz w:val="24"/>
        </w:rPr>
      </w:pPr>
      <w:r>
        <w:rPr>
          <w:rFonts w:hint="eastAsia" w:ascii="宋体" w:hAnsi="宋体"/>
          <w:b/>
          <w:sz w:val="24"/>
        </w:rPr>
        <w:t>评标办法前附表</w:t>
      </w:r>
    </w:p>
    <w:tbl>
      <w:tblPr>
        <w:tblStyle w:val="3"/>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129"/>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jc w:val="center"/>
        </w:trPr>
        <w:tc>
          <w:tcPr>
            <w:tcW w:w="535" w:type="pct"/>
            <w:vAlign w:val="center"/>
          </w:tcPr>
          <w:p>
            <w:pPr>
              <w:jc w:val="center"/>
              <w:rPr>
                <w:rFonts w:ascii="宋体" w:hAnsi="宋体" w:cs="宋体"/>
                <w:b/>
                <w:szCs w:val="21"/>
              </w:rPr>
            </w:pPr>
            <w:r>
              <w:rPr>
                <w:rFonts w:hint="eastAsia" w:ascii="宋体" w:hAnsi="宋体" w:cs="宋体"/>
                <w:b/>
                <w:szCs w:val="21"/>
              </w:rPr>
              <w:t>条款号</w:t>
            </w:r>
          </w:p>
        </w:tc>
        <w:tc>
          <w:tcPr>
            <w:tcW w:w="636" w:type="pct"/>
            <w:vAlign w:val="center"/>
          </w:tcPr>
          <w:p>
            <w:pPr>
              <w:jc w:val="center"/>
              <w:rPr>
                <w:rFonts w:ascii="宋体" w:hAnsi="宋体" w:cs="宋体"/>
                <w:b/>
                <w:szCs w:val="21"/>
              </w:rPr>
            </w:pPr>
            <w:r>
              <w:rPr>
                <w:rFonts w:hint="eastAsia" w:ascii="宋体" w:hAnsi="宋体" w:cs="宋体"/>
                <w:b/>
                <w:szCs w:val="21"/>
              </w:rPr>
              <w:t>条款名称</w:t>
            </w:r>
          </w:p>
        </w:tc>
        <w:tc>
          <w:tcPr>
            <w:tcW w:w="3829" w:type="pct"/>
            <w:vAlign w:val="center"/>
          </w:tcPr>
          <w:p>
            <w:pPr>
              <w:jc w:val="center"/>
              <w:rPr>
                <w:rFonts w:ascii="宋体" w:hAnsi="宋体" w:cs="宋体"/>
                <w:b/>
                <w:szCs w:val="21"/>
              </w:rPr>
            </w:pPr>
            <w:r>
              <w:rPr>
                <w:rFonts w:hint="eastAsia" w:ascii="宋体" w:hAnsi="宋体" w:cs="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pct"/>
            <w:vAlign w:val="center"/>
          </w:tcPr>
          <w:p>
            <w:pPr>
              <w:spacing w:line="360" w:lineRule="auto"/>
              <w:jc w:val="center"/>
              <w:rPr>
                <w:rFonts w:ascii="宋体" w:hAnsi="宋体" w:cs="宋体"/>
                <w:szCs w:val="21"/>
              </w:rPr>
            </w:pPr>
            <w:r>
              <w:rPr>
                <w:rFonts w:hint="eastAsia" w:ascii="宋体" w:hAnsi="宋体" w:cs="宋体"/>
                <w:szCs w:val="21"/>
              </w:rPr>
              <w:t>1</w:t>
            </w:r>
          </w:p>
        </w:tc>
        <w:tc>
          <w:tcPr>
            <w:tcW w:w="636" w:type="pct"/>
            <w:vAlign w:val="center"/>
          </w:tcPr>
          <w:p>
            <w:pPr>
              <w:spacing w:line="360" w:lineRule="auto"/>
              <w:jc w:val="center"/>
              <w:rPr>
                <w:rFonts w:ascii="宋体" w:hAnsi="宋体" w:cs="宋体"/>
                <w:szCs w:val="21"/>
              </w:rPr>
            </w:pPr>
            <w:r>
              <w:rPr>
                <w:rFonts w:hint="eastAsia" w:ascii="宋体" w:hAnsi="宋体" w:cs="宋体"/>
                <w:szCs w:val="21"/>
              </w:rPr>
              <w:t>评标办法</w:t>
            </w:r>
          </w:p>
        </w:tc>
        <w:tc>
          <w:tcPr>
            <w:tcW w:w="3829" w:type="pct"/>
            <w:vAlign w:val="center"/>
          </w:tcPr>
          <w:p>
            <w:pPr>
              <w:spacing w:line="276" w:lineRule="auto"/>
              <w:rPr>
                <w:rFonts w:ascii="宋体" w:hAnsi="宋体"/>
                <w:szCs w:val="21"/>
              </w:rPr>
            </w:pPr>
            <w:r>
              <w:rPr>
                <w:rFonts w:hint="eastAsia" w:ascii="宋体" w:hAnsi="宋体"/>
                <w:szCs w:val="21"/>
              </w:rPr>
              <w:t>本次评标采用综合评估法，双信封形式。评标委员会对满足招标文件实质性要求的投标文件，按照本章第2.2款规定的评分标准进行打分，并按得分由高到低顺序推荐1-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名中标候选人，或根据招标人授权直接确定中标人，但投标报价低于其成本的除外。综合评分相等时，评标委员会依次按照以下优先顺序推荐中标候选人：</w:t>
            </w:r>
          </w:p>
          <w:p>
            <w:pPr>
              <w:spacing w:line="276" w:lineRule="auto"/>
              <w:rPr>
                <w:rFonts w:ascii="宋体" w:hAnsi="宋体"/>
                <w:szCs w:val="21"/>
              </w:rPr>
            </w:pPr>
            <w:r>
              <w:rPr>
                <w:rFonts w:hint="eastAsia" w:ascii="宋体" w:hAnsi="宋体"/>
                <w:szCs w:val="21"/>
              </w:rPr>
              <w:t>（1）评标价低的投标人优先；</w:t>
            </w:r>
          </w:p>
          <w:p>
            <w:pPr>
              <w:spacing w:line="276" w:lineRule="auto"/>
              <w:rPr>
                <w:rFonts w:ascii="宋体" w:hAnsi="宋体"/>
                <w:szCs w:val="21"/>
              </w:rPr>
            </w:pPr>
            <w:r>
              <w:rPr>
                <w:rFonts w:hint="eastAsia" w:ascii="宋体" w:hAnsi="宋体"/>
                <w:szCs w:val="21"/>
              </w:rPr>
              <w:t>（2）</w:t>
            </w:r>
            <w:r>
              <w:rPr>
                <w:rFonts w:ascii="宋体" w:hAnsi="宋体"/>
                <w:szCs w:val="21"/>
              </w:rPr>
              <w:t>技术得分较高的投标人优先</w:t>
            </w:r>
            <w:r>
              <w:rPr>
                <w:rFonts w:hint="eastAsia" w:ascii="宋体" w:hAnsi="宋体"/>
                <w:szCs w:val="21"/>
              </w:rPr>
              <w:t>；</w:t>
            </w:r>
          </w:p>
          <w:p>
            <w:pPr>
              <w:spacing w:line="276" w:lineRule="auto"/>
              <w:rPr>
                <w:rFonts w:ascii="宋体" w:hAnsi="宋体"/>
                <w:szCs w:val="21"/>
              </w:rPr>
            </w:pPr>
            <w:r>
              <w:rPr>
                <w:rFonts w:hint="eastAsia" w:ascii="宋体" w:hAnsi="宋体"/>
                <w:szCs w:val="21"/>
              </w:rPr>
              <w:t>（3）投标文件中满足附录2资格审查条件</w:t>
            </w:r>
            <w:r>
              <w:rPr>
                <w:rFonts w:ascii="宋体" w:hAnsi="宋体"/>
                <w:szCs w:val="21"/>
              </w:rPr>
              <w:t>(</w:t>
            </w:r>
            <w:r>
              <w:rPr>
                <w:rFonts w:hint="eastAsia" w:ascii="宋体" w:hAnsi="宋体"/>
                <w:szCs w:val="21"/>
              </w:rPr>
              <w:t>业绩最低要求</w:t>
            </w:r>
            <w:r>
              <w:rPr>
                <w:rFonts w:ascii="宋体" w:hAnsi="宋体"/>
                <w:szCs w:val="21"/>
              </w:rPr>
              <w:t>)</w:t>
            </w:r>
            <w:r>
              <w:rPr>
                <w:rFonts w:hint="eastAsia" w:ascii="宋体" w:hAnsi="宋体"/>
                <w:szCs w:val="21"/>
              </w:rPr>
              <w:t xml:space="preserve"> 的业绩累计金额高的优先。</w:t>
            </w:r>
          </w:p>
          <w:p>
            <w:pPr>
              <w:spacing w:line="276" w:lineRule="auto"/>
              <w:ind w:firstLine="420" w:firstLineChars="200"/>
              <w:rPr>
                <w:rFonts w:ascii="宋体" w:hAnsi="宋体"/>
                <w:szCs w:val="21"/>
              </w:rPr>
            </w:pPr>
            <w:r>
              <w:rPr>
                <w:rFonts w:hint="eastAsia" w:ascii="宋体" w:hAnsi="宋体"/>
                <w:szCs w:val="21"/>
              </w:rPr>
              <w:t>投标人同时在2标段投标的，只能在其中1个标段中标。如同时在2个标段中综合评分排名为第一时，则优先推荐第一标段中标。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pct"/>
            <w:vAlign w:val="center"/>
          </w:tcPr>
          <w:p>
            <w:pPr>
              <w:spacing w:line="360" w:lineRule="auto"/>
              <w:jc w:val="center"/>
              <w:rPr>
                <w:rFonts w:ascii="宋体" w:hAnsi="宋体" w:cs="宋体"/>
                <w:szCs w:val="21"/>
              </w:rPr>
            </w:pPr>
            <w:r>
              <w:rPr>
                <w:rFonts w:ascii="宋体" w:hAnsi="宋体" w:cs="宋体"/>
                <w:szCs w:val="21"/>
              </w:rPr>
              <w:t>2.1.1</w:t>
            </w:r>
          </w:p>
          <w:p>
            <w:pPr>
              <w:spacing w:line="360" w:lineRule="auto"/>
              <w:jc w:val="center"/>
              <w:rPr>
                <w:rFonts w:ascii="宋体" w:hAnsi="宋体" w:cs="宋体"/>
                <w:szCs w:val="21"/>
              </w:rPr>
            </w:pPr>
            <w:r>
              <w:rPr>
                <w:rFonts w:ascii="宋体" w:hAnsi="宋体" w:cs="宋体"/>
                <w:szCs w:val="21"/>
              </w:rPr>
              <w:t>2.1.3</w:t>
            </w:r>
          </w:p>
        </w:tc>
        <w:tc>
          <w:tcPr>
            <w:tcW w:w="636" w:type="pct"/>
            <w:vAlign w:val="center"/>
          </w:tcPr>
          <w:p>
            <w:pPr>
              <w:spacing w:line="360" w:lineRule="auto"/>
              <w:jc w:val="center"/>
              <w:rPr>
                <w:rFonts w:ascii="宋体" w:hAnsi="宋体" w:cs="宋体"/>
                <w:szCs w:val="21"/>
              </w:rPr>
            </w:pPr>
            <w:r>
              <w:rPr>
                <w:rFonts w:hint="eastAsia" w:ascii="宋体" w:hAnsi="宋体" w:cs="宋体"/>
                <w:szCs w:val="21"/>
              </w:rPr>
              <w:t>形式评审与响应性评审标准</w:t>
            </w:r>
          </w:p>
        </w:tc>
        <w:tc>
          <w:tcPr>
            <w:tcW w:w="3829" w:type="pct"/>
            <w:vAlign w:val="center"/>
          </w:tcPr>
          <w:p>
            <w:pPr>
              <w:spacing w:line="360" w:lineRule="auto"/>
              <w:rPr>
                <w:rFonts w:ascii="宋体" w:hAnsi="宋体"/>
                <w:b/>
                <w:szCs w:val="21"/>
              </w:rPr>
            </w:pPr>
            <w:r>
              <w:rPr>
                <w:rFonts w:hint="eastAsia" w:ascii="宋体" w:hAnsi="宋体"/>
                <w:b/>
                <w:szCs w:val="21"/>
              </w:rPr>
              <w:t>第一个信封（商务及技术文件）评审标准：</w:t>
            </w:r>
          </w:p>
          <w:p>
            <w:pPr>
              <w:spacing w:line="360" w:lineRule="auto"/>
              <w:rPr>
                <w:rFonts w:ascii="宋体" w:hAnsi="宋体"/>
                <w:szCs w:val="21"/>
              </w:rPr>
            </w:pPr>
            <w:r>
              <w:rPr>
                <w:rFonts w:hint="eastAsia" w:ascii="宋体" w:hAnsi="宋体"/>
                <w:szCs w:val="21"/>
              </w:rPr>
              <w:t>（1）投标文件按照招标文件规定的格式、内容填写，字迹清晰可辨：</w:t>
            </w:r>
          </w:p>
          <w:p>
            <w:pPr>
              <w:spacing w:line="360" w:lineRule="auto"/>
              <w:rPr>
                <w:rFonts w:ascii="宋体" w:hAnsi="宋体"/>
                <w:szCs w:val="21"/>
              </w:rPr>
            </w:pPr>
            <w:r>
              <w:rPr>
                <w:rFonts w:hint="eastAsia" w:ascii="宋体" w:hAnsi="宋体"/>
                <w:szCs w:val="21"/>
              </w:rPr>
              <w:t>a.投标函按招标文件规定填报了项目名称、标段、补遗书编号（如有）、质量要求、安全目标、检测服务期、项目负责人；</w:t>
            </w:r>
          </w:p>
          <w:p>
            <w:pPr>
              <w:spacing w:line="360" w:lineRule="auto"/>
              <w:rPr>
                <w:rFonts w:ascii="宋体" w:hAnsi="宋体"/>
                <w:szCs w:val="21"/>
              </w:rPr>
            </w:pPr>
            <w:r>
              <w:rPr>
                <w:rFonts w:hint="eastAsia" w:ascii="宋体" w:hAnsi="宋体"/>
                <w:szCs w:val="21"/>
              </w:rPr>
              <w:t>b.投标函附录的所有数据均符合招标文件规定；</w:t>
            </w:r>
          </w:p>
          <w:p>
            <w:pPr>
              <w:spacing w:line="360" w:lineRule="auto"/>
              <w:rPr>
                <w:rFonts w:ascii="宋体" w:hAnsi="宋体"/>
                <w:szCs w:val="21"/>
              </w:rPr>
            </w:pPr>
            <w:r>
              <w:rPr>
                <w:rFonts w:hint="eastAsia" w:ascii="宋体" w:hAnsi="宋体"/>
                <w:szCs w:val="21"/>
              </w:rPr>
              <w:t>c.投标文件组成齐全完整，内容均按规定填写</w:t>
            </w:r>
          </w:p>
          <w:p>
            <w:pPr>
              <w:spacing w:line="360" w:lineRule="auto"/>
              <w:rPr>
                <w:rFonts w:ascii="宋体" w:hAnsi="宋体"/>
                <w:szCs w:val="21"/>
              </w:rPr>
            </w:pPr>
            <w:r>
              <w:rPr>
                <w:rFonts w:hint="eastAsia" w:ascii="宋体" w:hAnsi="宋体"/>
                <w:szCs w:val="21"/>
              </w:rPr>
              <w:t>（2）投标文件上法定代表人或其授权代理人的签字、投标人的单位章盖章齐全，符合招标文件规定。</w:t>
            </w:r>
          </w:p>
          <w:p>
            <w:pPr>
              <w:spacing w:line="360" w:lineRule="auto"/>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spacing w:line="360" w:lineRule="auto"/>
              <w:rPr>
                <w:rFonts w:ascii="宋体" w:hAnsi="宋体"/>
                <w:szCs w:val="21"/>
              </w:rPr>
            </w:pPr>
            <w:r>
              <w:rPr>
                <w:rFonts w:hint="eastAsia" w:ascii="宋体" w:hAnsi="宋体"/>
                <w:szCs w:val="21"/>
              </w:rPr>
              <w:t>a.投标保证金金额符合招标文件规定的金额，且投标保证金有效期不少于投标有效期；</w:t>
            </w:r>
          </w:p>
          <w:p>
            <w:pPr>
              <w:spacing w:line="360" w:lineRule="auto"/>
              <w:rPr>
                <w:rFonts w:ascii="宋体" w:hAnsi="宋体"/>
                <w:szCs w:val="21"/>
              </w:rPr>
            </w:pPr>
            <w:r>
              <w:rPr>
                <w:rFonts w:hint="eastAsia" w:ascii="宋体" w:hAnsi="宋体"/>
                <w:szCs w:val="21"/>
              </w:rPr>
              <w:t>b.若投标保证金采用电汇或转账形式提交，投标人应在递交投标文件截止时间之前，将投标保证金由投标人的基本账户转入招标人指定账户；</w:t>
            </w:r>
          </w:p>
          <w:p>
            <w:pPr>
              <w:spacing w:line="360" w:lineRule="auto"/>
              <w:rPr>
                <w:rFonts w:ascii="宋体" w:hAnsi="宋体"/>
                <w:szCs w:val="21"/>
              </w:rPr>
            </w:pPr>
            <w:r>
              <w:rPr>
                <w:rFonts w:hint="eastAsia" w:ascii="宋体" w:hAnsi="宋体"/>
                <w:szCs w:val="21"/>
              </w:rPr>
              <w:t>c.若投标保证金采用银行保函形式提交，银行保函的格式、开具保函的银行均满足招标文件要求，且在递交投标文件截止时间之前向招标人提交了银行保函原件。</w:t>
            </w:r>
          </w:p>
          <w:p>
            <w:pPr>
              <w:spacing w:line="360" w:lineRule="auto"/>
              <w:rPr>
                <w:rFonts w:ascii="宋体" w:hAnsi="宋体"/>
                <w:szCs w:val="21"/>
              </w:rPr>
            </w:pPr>
            <w:r>
              <w:rPr>
                <w:rFonts w:hint="eastAsia" w:ascii="宋体" w:hAnsi="宋体"/>
                <w:szCs w:val="21"/>
              </w:rPr>
              <w:t>（4）投标人法定代表人授权委托代理人签署投标文件的，须提交授权委托书，且授权人和被授权人均在授权委托书上签名，未使用印章、签名章或其他电子制版签名代替。</w:t>
            </w:r>
          </w:p>
          <w:p>
            <w:pPr>
              <w:spacing w:line="360" w:lineRule="auto"/>
              <w:rPr>
                <w:rFonts w:ascii="宋体" w:hAnsi="宋体"/>
                <w:szCs w:val="21"/>
              </w:rPr>
            </w:pPr>
            <w:r>
              <w:rPr>
                <w:rFonts w:hint="eastAsia" w:ascii="宋体" w:hAnsi="宋体"/>
                <w:szCs w:val="21"/>
              </w:rPr>
              <w:t>（5）投标人法定代表人亲自签署投标文件的，提供了法定代表人身份证明，法定代表人在法定代表人身份证明上签名。</w:t>
            </w:r>
          </w:p>
          <w:p>
            <w:pPr>
              <w:spacing w:line="360" w:lineRule="auto"/>
              <w:rPr>
                <w:rFonts w:ascii="宋体" w:hAnsi="宋体"/>
                <w:szCs w:val="21"/>
              </w:rPr>
            </w:pPr>
            <w:r>
              <w:rPr>
                <w:rFonts w:hint="eastAsia" w:ascii="宋体" w:hAnsi="宋体"/>
                <w:szCs w:val="21"/>
              </w:rPr>
              <w:t>（6）投标人未以联合体形式投标。</w:t>
            </w:r>
          </w:p>
          <w:p>
            <w:pPr>
              <w:spacing w:line="360" w:lineRule="auto"/>
              <w:rPr>
                <w:rFonts w:ascii="宋体" w:hAnsi="宋体"/>
                <w:szCs w:val="21"/>
              </w:rPr>
            </w:pPr>
            <w:r>
              <w:rPr>
                <w:rFonts w:hint="eastAsia" w:ascii="宋体" w:hAnsi="宋体"/>
                <w:szCs w:val="21"/>
              </w:rPr>
              <w:t>（7）投标人未对本项目进行分包。</w:t>
            </w:r>
          </w:p>
          <w:p>
            <w:pPr>
              <w:spacing w:line="360" w:lineRule="auto"/>
              <w:rPr>
                <w:rFonts w:ascii="宋体" w:hAnsi="宋体"/>
                <w:szCs w:val="21"/>
              </w:rPr>
            </w:pPr>
            <w:r>
              <w:rPr>
                <w:rFonts w:hint="eastAsia" w:ascii="宋体" w:hAnsi="宋体"/>
                <w:szCs w:val="21"/>
              </w:rPr>
              <w:t>（8）同一投标人在同一标段未同时提交两个以上不同的投标文件。</w:t>
            </w:r>
          </w:p>
          <w:p>
            <w:pPr>
              <w:spacing w:line="360" w:lineRule="auto"/>
              <w:rPr>
                <w:rFonts w:ascii="宋体" w:hAnsi="宋体"/>
                <w:szCs w:val="21"/>
              </w:rPr>
            </w:pPr>
            <w:r>
              <w:rPr>
                <w:rFonts w:hint="eastAsia" w:ascii="宋体" w:hAnsi="宋体"/>
                <w:szCs w:val="21"/>
              </w:rPr>
              <w:t>（9）投标文件中未出现有关投标报价的内容。</w:t>
            </w:r>
          </w:p>
          <w:p>
            <w:pPr>
              <w:spacing w:line="360" w:lineRule="auto"/>
              <w:rPr>
                <w:rFonts w:ascii="宋体" w:hAnsi="宋体"/>
                <w:szCs w:val="21"/>
              </w:rPr>
            </w:pPr>
            <w:r>
              <w:rPr>
                <w:rFonts w:hint="eastAsia" w:ascii="宋体" w:hAnsi="宋体"/>
                <w:szCs w:val="21"/>
              </w:rPr>
              <w:t>（10）投标文件载明的招标项目完成期限未超过招标文件规定的时限。</w:t>
            </w:r>
          </w:p>
          <w:p>
            <w:pPr>
              <w:spacing w:line="360" w:lineRule="auto"/>
              <w:rPr>
                <w:rFonts w:ascii="宋体" w:hAnsi="宋体"/>
                <w:szCs w:val="21"/>
              </w:rPr>
            </w:pPr>
            <w:r>
              <w:rPr>
                <w:rFonts w:hint="eastAsia" w:ascii="宋体" w:hAnsi="宋体"/>
                <w:szCs w:val="21"/>
              </w:rPr>
              <w:t>（11）投标文件对招标文件的实质性要求和条件作出响应。</w:t>
            </w:r>
          </w:p>
          <w:p>
            <w:pPr>
              <w:spacing w:line="360" w:lineRule="auto"/>
              <w:rPr>
                <w:rFonts w:ascii="宋体" w:hAnsi="宋体"/>
                <w:szCs w:val="21"/>
              </w:rPr>
            </w:pPr>
            <w:r>
              <w:rPr>
                <w:rFonts w:hint="eastAsia" w:ascii="宋体" w:hAnsi="宋体"/>
                <w:szCs w:val="21"/>
              </w:rPr>
              <w:t>（</w:t>
            </w:r>
            <w:r>
              <w:rPr>
                <w:rFonts w:ascii="宋体" w:hAnsi="宋体"/>
                <w:szCs w:val="21"/>
              </w:rPr>
              <w:t>12</w:t>
            </w:r>
            <w:r>
              <w:rPr>
                <w:rFonts w:hint="eastAsia" w:ascii="宋体" w:hAnsi="宋体"/>
                <w:szCs w:val="21"/>
              </w:rPr>
              <w:t>）权利义务符合招标文件规定：</w:t>
            </w:r>
          </w:p>
          <w:p>
            <w:pPr>
              <w:spacing w:line="360" w:lineRule="auto"/>
              <w:rPr>
                <w:rFonts w:ascii="宋体" w:hAnsi="宋体"/>
                <w:szCs w:val="21"/>
              </w:rPr>
            </w:pPr>
            <w:r>
              <w:rPr>
                <w:rFonts w:hint="eastAsia" w:ascii="宋体" w:hAnsi="宋体"/>
                <w:szCs w:val="21"/>
              </w:rPr>
              <w:t>a.投标人应接受招标文件规定的风险划分原则，未提出新的风险划分办法；</w:t>
            </w:r>
          </w:p>
          <w:p>
            <w:pPr>
              <w:spacing w:line="360" w:lineRule="auto"/>
              <w:rPr>
                <w:rFonts w:ascii="宋体" w:hAnsi="宋体"/>
                <w:szCs w:val="21"/>
              </w:rPr>
            </w:pPr>
            <w:r>
              <w:rPr>
                <w:rFonts w:hint="eastAsia" w:ascii="宋体" w:hAnsi="宋体"/>
                <w:szCs w:val="21"/>
              </w:rPr>
              <w:t>b.投标人未增加发包人的责任范围，或减少投标人义务；</w:t>
            </w:r>
          </w:p>
          <w:p>
            <w:pPr>
              <w:spacing w:line="360" w:lineRule="auto"/>
              <w:rPr>
                <w:rFonts w:ascii="宋体" w:hAnsi="宋体"/>
                <w:szCs w:val="21"/>
              </w:rPr>
            </w:pPr>
            <w:r>
              <w:rPr>
                <w:rFonts w:hint="eastAsia" w:ascii="宋体" w:hAnsi="宋体"/>
                <w:szCs w:val="21"/>
              </w:rPr>
              <w:t>c.投标人未提出不同的支付办法；</w:t>
            </w:r>
          </w:p>
          <w:p>
            <w:pPr>
              <w:spacing w:line="360" w:lineRule="auto"/>
              <w:rPr>
                <w:rFonts w:ascii="宋体" w:hAnsi="宋体"/>
                <w:szCs w:val="21"/>
              </w:rPr>
            </w:pPr>
            <w:r>
              <w:rPr>
                <w:rFonts w:hint="eastAsia" w:ascii="宋体" w:hAnsi="宋体"/>
                <w:szCs w:val="21"/>
              </w:rPr>
              <w:t>d.投标人对合同纠纷、事故处理办法未提出异议；</w:t>
            </w:r>
          </w:p>
          <w:p>
            <w:pPr>
              <w:spacing w:line="360" w:lineRule="auto"/>
              <w:rPr>
                <w:rFonts w:ascii="宋体" w:hAnsi="宋体"/>
                <w:szCs w:val="21"/>
              </w:rPr>
            </w:pPr>
            <w:r>
              <w:rPr>
                <w:rFonts w:hint="eastAsia" w:ascii="宋体" w:hAnsi="宋体"/>
                <w:szCs w:val="21"/>
              </w:rPr>
              <w:t>e.投标人在投标活动中无欺诈行为；</w:t>
            </w:r>
          </w:p>
          <w:p>
            <w:pPr>
              <w:spacing w:line="360" w:lineRule="auto"/>
              <w:rPr>
                <w:rFonts w:ascii="宋体" w:hAnsi="宋体"/>
                <w:szCs w:val="21"/>
              </w:rPr>
            </w:pPr>
            <w:r>
              <w:rPr>
                <w:rFonts w:hint="eastAsia" w:ascii="宋体" w:hAnsi="宋体"/>
                <w:szCs w:val="21"/>
              </w:rPr>
              <w:t>f.投标人未对合同条款有重要保留。</w:t>
            </w:r>
          </w:p>
          <w:p>
            <w:pPr>
              <w:spacing w:line="360" w:lineRule="auto"/>
              <w:rPr>
                <w:rFonts w:ascii="宋体" w:hAnsi="宋体"/>
                <w:szCs w:val="21"/>
              </w:rPr>
            </w:pPr>
            <w:r>
              <w:rPr>
                <w:rFonts w:hint="eastAsia" w:ascii="宋体" w:hAnsi="宋体"/>
                <w:szCs w:val="21"/>
              </w:rPr>
              <w:t>（13）投标文件正、副本份数符合第二章“投标人须知”第3.7.4项规定。</w:t>
            </w:r>
          </w:p>
          <w:p>
            <w:pPr>
              <w:spacing w:line="360" w:lineRule="auto"/>
              <w:rPr>
                <w:rFonts w:ascii="宋体" w:hAnsi="宋体"/>
                <w:b/>
                <w:szCs w:val="21"/>
              </w:rPr>
            </w:pPr>
            <w:r>
              <w:rPr>
                <w:rFonts w:hint="eastAsia" w:ascii="宋体" w:hAnsi="宋体"/>
                <w:b/>
                <w:szCs w:val="21"/>
              </w:rPr>
              <w:t>第二个信封（报价文件）评审标准：</w:t>
            </w:r>
          </w:p>
          <w:p>
            <w:pPr>
              <w:spacing w:line="360" w:lineRule="auto"/>
              <w:rPr>
                <w:rFonts w:ascii="宋体" w:hAnsi="宋体"/>
                <w:szCs w:val="21"/>
              </w:rPr>
            </w:pPr>
            <w:r>
              <w:rPr>
                <w:rFonts w:hint="eastAsia" w:ascii="宋体" w:hAnsi="宋体"/>
                <w:szCs w:val="21"/>
              </w:rPr>
              <w:t>（1）投标文件按照招标文件规定的格式、内容填写，字迹清晰可辨：</w:t>
            </w:r>
          </w:p>
          <w:p>
            <w:pPr>
              <w:spacing w:line="360" w:lineRule="auto"/>
              <w:rPr>
                <w:rFonts w:ascii="宋体" w:hAnsi="宋体"/>
                <w:szCs w:val="21"/>
              </w:rPr>
            </w:pPr>
            <w:r>
              <w:rPr>
                <w:rFonts w:hint="eastAsia" w:ascii="宋体" w:hAnsi="宋体"/>
                <w:szCs w:val="21"/>
              </w:rPr>
              <w:t>a.投标函按招标文件规定填报了项目名称、标段、补遗书编号（如有）、投标报价（包括大写金额和小写金额）；</w:t>
            </w:r>
          </w:p>
          <w:p>
            <w:pPr>
              <w:spacing w:line="360" w:lineRule="auto"/>
              <w:rPr>
                <w:rFonts w:ascii="宋体" w:hAnsi="宋体"/>
                <w:szCs w:val="21"/>
              </w:rPr>
            </w:pPr>
            <w:r>
              <w:rPr>
                <w:rFonts w:hint="eastAsia" w:ascii="宋体" w:hAnsi="宋体"/>
                <w:szCs w:val="21"/>
              </w:rPr>
              <w:t>b．已标价工程量清单说明文字与招标文件规定一致，未进行修改和删减；</w:t>
            </w:r>
          </w:p>
          <w:p>
            <w:pPr>
              <w:spacing w:line="360" w:lineRule="auto"/>
              <w:rPr>
                <w:rFonts w:ascii="宋体" w:hAnsi="宋体"/>
                <w:szCs w:val="21"/>
              </w:rPr>
            </w:pPr>
            <w:r>
              <w:rPr>
                <w:rFonts w:hint="eastAsia" w:ascii="宋体" w:hAnsi="宋体"/>
                <w:szCs w:val="21"/>
              </w:rPr>
              <w:t>c．投标文件组成齐全完整，内容均按规定填写。</w:t>
            </w:r>
          </w:p>
          <w:p>
            <w:pPr>
              <w:spacing w:line="360" w:lineRule="auto"/>
              <w:rPr>
                <w:rFonts w:ascii="宋体" w:hAnsi="宋体"/>
                <w:szCs w:val="21"/>
              </w:rPr>
            </w:pPr>
            <w:r>
              <w:rPr>
                <w:rFonts w:hint="eastAsia" w:ascii="宋体" w:hAnsi="宋体"/>
                <w:szCs w:val="21"/>
              </w:rPr>
              <w:t>（2）投标文件上法定代表人或其委托代理人的签字、投标人的单位章盖章齐全，符合招标文件规定。</w:t>
            </w:r>
          </w:p>
          <w:p>
            <w:pPr>
              <w:spacing w:line="360" w:lineRule="auto"/>
              <w:rPr>
                <w:rFonts w:ascii="宋体" w:hAnsi="宋体"/>
                <w:szCs w:val="21"/>
              </w:rPr>
            </w:pPr>
            <w:r>
              <w:rPr>
                <w:rFonts w:hint="eastAsia" w:ascii="宋体" w:hAnsi="宋体"/>
                <w:szCs w:val="21"/>
              </w:rPr>
              <w:t>（3）投标报价未超过招标文件设定的最高投标限价。</w:t>
            </w:r>
          </w:p>
          <w:p>
            <w:pPr>
              <w:spacing w:line="360" w:lineRule="auto"/>
              <w:rPr>
                <w:rFonts w:ascii="宋体" w:hAnsi="宋体"/>
                <w:szCs w:val="21"/>
              </w:rPr>
            </w:pPr>
            <w:r>
              <w:rPr>
                <w:rFonts w:hint="eastAsia" w:ascii="宋体" w:hAnsi="宋体"/>
                <w:szCs w:val="21"/>
              </w:rPr>
              <w:t>（4）投标报价的大写金额能够确定具体数值。</w:t>
            </w:r>
          </w:p>
          <w:p>
            <w:pPr>
              <w:spacing w:line="360" w:lineRule="auto"/>
              <w:rPr>
                <w:rFonts w:ascii="宋体" w:hAnsi="宋体"/>
                <w:szCs w:val="21"/>
              </w:rPr>
            </w:pPr>
            <w:r>
              <w:rPr>
                <w:rFonts w:hint="eastAsia" w:ascii="宋体" w:hAnsi="宋体"/>
                <w:szCs w:val="21"/>
              </w:rPr>
              <w:t>（5）同一投标人在同一标段未提交两个以上不同的投标报价。</w:t>
            </w:r>
          </w:p>
          <w:p>
            <w:pPr>
              <w:spacing w:line="360" w:lineRule="auto"/>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）投标文件正、副本份数符合第二章“投标人须知”第3.7.4项规定。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pct"/>
            <w:vAlign w:val="center"/>
          </w:tcPr>
          <w:p>
            <w:pPr>
              <w:spacing w:line="360" w:lineRule="auto"/>
              <w:jc w:val="center"/>
              <w:rPr>
                <w:rFonts w:ascii="宋体" w:hAnsi="宋体" w:cs="宋体"/>
                <w:szCs w:val="21"/>
              </w:rPr>
            </w:pPr>
            <w:r>
              <w:rPr>
                <w:rFonts w:hint="eastAsia" w:ascii="宋体" w:hAnsi="宋体" w:cs="宋体"/>
                <w:szCs w:val="21"/>
              </w:rPr>
              <w:t>2.1.2</w:t>
            </w:r>
          </w:p>
        </w:tc>
        <w:tc>
          <w:tcPr>
            <w:tcW w:w="636" w:type="pct"/>
            <w:vAlign w:val="center"/>
          </w:tcPr>
          <w:p>
            <w:pPr>
              <w:spacing w:line="360" w:lineRule="auto"/>
              <w:jc w:val="center"/>
              <w:rPr>
                <w:rFonts w:ascii="宋体" w:hAnsi="宋体" w:cs="宋体"/>
                <w:szCs w:val="21"/>
              </w:rPr>
            </w:pPr>
            <w:r>
              <w:rPr>
                <w:rFonts w:hint="eastAsia" w:ascii="宋体" w:hAnsi="宋体" w:cs="宋体"/>
                <w:szCs w:val="21"/>
              </w:rPr>
              <w:t>资格评审标准</w:t>
            </w:r>
          </w:p>
        </w:tc>
        <w:tc>
          <w:tcPr>
            <w:tcW w:w="3829" w:type="pct"/>
            <w:vAlign w:val="center"/>
          </w:tcPr>
          <w:p>
            <w:pPr>
              <w:spacing w:line="360" w:lineRule="auto"/>
              <w:rPr>
                <w:rFonts w:ascii="宋体" w:hAnsi="宋体"/>
                <w:szCs w:val="21"/>
              </w:rPr>
            </w:pPr>
            <w:r>
              <w:rPr>
                <w:rFonts w:hint="eastAsia" w:ascii="宋体" w:hAnsi="宋体"/>
                <w:szCs w:val="21"/>
              </w:rPr>
              <w:t>（1）投标人具备有效的营业执照（或</w:t>
            </w:r>
            <w:r>
              <w:rPr>
                <w:rFonts w:ascii="宋体" w:hAnsi="宋体"/>
                <w:szCs w:val="21"/>
              </w:rPr>
              <w:t>事业单位法人证书</w:t>
            </w:r>
            <w:r>
              <w:rPr>
                <w:rFonts w:hint="eastAsia" w:ascii="宋体" w:hAnsi="宋体"/>
                <w:szCs w:val="21"/>
              </w:rPr>
              <w:t>）、资质证书、计量认证合格证书和基本账户开户许可证或基本存款账户信息。</w:t>
            </w:r>
          </w:p>
          <w:p>
            <w:pPr>
              <w:spacing w:line="360" w:lineRule="auto"/>
              <w:rPr>
                <w:rFonts w:ascii="宋体" w:hAnsi="宋体"/>
                <w:szCs w:val="21"/>
              </w:rPr>
            </w:pPr>
            <w:r>
              <w:rPr>
                <w:rFonts w:hint="eastAsia" w:ascii="宋体" w:hAnsi="宋体"/>
                <w:szCs w:val="21"/>
              </w:rPr>
              <w:t>（2）投标人的资质等级符合招标文件规定。</w:t>
            </w:r>
          </w:p>
          <w:p>
            <w:pPr>
              <w:spacing w:line="360" w:lineRule="auto"/>
              <w:rPr>
                <w:rFonts w:ascii="宋体" w:hAnsi="宋体"/>
                <w:szCs w:val="21"/>
              </w:rPr>
            </w:pPr>
            <w:r>
              <w:rPr>
                <w:rFonts w:hint="eastAsia" w:ascii="宋体" w:hAnsi="宋体"/>
                <w:szCs w:val="21"/>
              </w:rPr>
              <w:t>（3）投标人的类似项目业绩符合招标文件规定。</w:t>
            </w:r>
          </w:p>
          <w:p>
            <w:pPr>
              <w:spacing w:line="360" w:lineRule="auto"/>
              <w:rPr>
                <w:rFonts w:ascii="宋体" w:hAnsi="宋体"/>
                <w:szCs w:val="21"/>
              </w:rPr>
            </w:pPr>
            <w:r>
              <w:rPr>
                <w:rFonts w:hint="eastAsia" w:ascii="宋体" w:hAnsi="宋体"/>
                <w:szCs w:val="21"/>
              </w:rPr>
              <w:t>（4）投标人的信誉符合招标文件规定。</w:t>
            </w:r>
          </w:p>
          <w:p>
            <w:pPr>
              <w:spacing w:line="360" w:lineRule="auto"/>
              <w:rPr>
                <w:rFonts w:ascii="宋体" w:hAnsi="宋体"/>
                <w:szCs w:val="21"/>
              </w:rPr>
            </w:pPr>
            <w:r>
              <w:rPr>
                <w:rFonts w:hint="eastAsia" w:ascii="宋体" w:hAnsi="宋体"/>
                <w:szCs w:val="21"/>
              </w:rPr>
              <w:t>（5）投标人的项目负责人资格符合招标文件规定。</w:t>
            </w:r>
          </w:p>
          <w:p>
            <w:pPr>
              <w:spacing w:line="360" w:lineRule="auto"/>
              <w:rPr>
                <w:rFonts w:ascii="宋体" w:hAnsi="宋体"/>
                <w:szCs w:val="21"/>
              </w:rPr>
            </w:pPr>
            <w:r>
              <w:rPr>
                <w:rFonts w:hint="eastAsia" w:ascii="宋体" w:hAnsi="宋体"/>
                <w:szCs w:val="21"/>
              </w:rPr>
              <w:t>（6）投标人的其他要求符合招标文件规定。</w:t>
            </w:r>
          </w:p>
          <w:p>
            <w:pPr>
              <w:spacing w:line="360" w:lineRule="auto"/>
              <w:rPr>
                <w:rFonts w:ascii="宋体" w:hAnsi="宋体"/>
                <w:szCs w:val="21"/>
              </w:rPr>
            </w:pPr>
            <w:r>
              <w:rPr>
                <w:rFonts w:hint="eastAsia" w:ascii="宋体" w:hAnsi="宋体"/>
                <w:szCs w:val="21"/>
              </w:rPr>
              <w:t>（7）投标人不存在第二章“投标人须知”第1.4.3项或第1.4.4项规定的任何一种情形。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pct"/>
            <w:vAlign w:val="center"/>
          </w:tcPr>
          <w:p>
            <w:pPr>
              <w:spacing w:line="360" w:lineRule="auto"/>
              <w:jc w:val="center"/>
              <w:rPr>
                <w:rFonts w:ascii="宋体" w:hAnsi="宋体" w:cs="宋体"/>
                <w:szCs w:val="21"/>
              </w:rPr>
            </w:pPr>
            <w:r>
              <w:rPr>
                <w:rFonts w:hint="eastAsia" w:ascii="宋体" w:hAnsi="宋体" w:cs="宋体"/>
                <w:szCs w:val="21"/>
              </w:rPr>
              <w:t>2.2.1</w:t>
            </w:r>
          </w:p>
        </w:tc>
        <w:tc>
          <w:tcPr>
            <w:tcW w:w="636" w:type="pct"/>
            <w:vAlign w:val="center"/>
          </w:tcPr>
          <w:p>
            <w:pPr>
              <w:spacing w:line="360" w:lineRule="auto"/>
              <w:jc w:val="center"/>
              <w:rPr>
                <w:rFonts w:ascii="宋体" w:hAnsi="宋体" w:cs="宋体"/>
                <w:szCs w:val="21"/>
              </w:rPr>
            </w:pPr>
            <w:r>
              <w:rPr>
                <w:rFonts w:hint="eastAsia" w:ascii="宋体" w:hAnsi="宋体" w:cs="宋体"/>
                <w:szCs w:val="21"/>
              </w:rPr>
              <w:t>分值构成（总分100分）</w:t>
            </w:r>
          </w:p>
        </w:tc>
        <w:tc>
          <w:tcPr>
            <w:tcW w:w="3829" w:type="pct"/>
            <w:vAlign w:val="center"/>
          </w:tcPr>
          <w:p>
            <w:pPr>
              <w:spacing w:line="360" w:lineRule="auto"/>
              <w:rPr>
                <w:rFonts w:ascii="宋体" w:hAnsi="宋体"/>
                <w:b/>
                <w:szCs w:val="21"/>
              </w:rPr>
            </w:pPr>
            <w:r>
              <w:rPr>
                <w:rFonts w:hint="eastAsia" w:ascii="宋体" w:hAnsi="宋体"/>
                <w:b/>
                <w:szCs w:val="21"/>
              </w:rPr>
              <w:t>第一个信封（商务及技术文件）评分分值构成：</w:t>
            </w:r>
          </w:p>
          <w:p>
            <w:pPr>
              <w:spacing w:line="360" w:lineRule="auto"/>
              <w:rPr>
                <w:rFonts w:ascii="宋体" w:hAnsi="宋体"/>
                <w:szCs w:val="21"/>
              </w:rPr>
            </w:pPr>
            <w:r>
              <w:rPr>
                <w:rFonts w:hint="eastAsia" w:ascii="宋体" w:hAnsi="宋体"/>
                <w:szCs w:val="21"/>
              </w:rPr>
              <w:t>技术建议书：</w:t>
            </w:r>
            <w:r>
              <w:rPr>
                <w:rFonts w:ascii="宋体" w:hAnsi="宋体"/>
                <w:szCs w:val="21"/>
              </w:rPr>
              <w:t>45</w:t>
            </w:r>
            <w:r>
              <w:rPr>
                <w:rFonts w:hint="eastAsia" w:ascii="宋体" w:hAnsi="宋体"/>
                <w:szCs w:val="21"/>
              </w:rPr>
              <w:t>分</w:t>
            </w:r>
          </w:p>
          <w:p>
            <w:pPr>
              <w:spacing w:line="360" w:lineRule="auto"/>
              <w:rPr>
                <w:rFonts w:ascii="宋体" w:hAnsi="宋体"/>
                <w:szCs w:val="21"/>
              </w:rPr>
            </w:pPr>
            <w:r>
              <w:rPr>
                <w:rFonts w:hint="eastAsia" w:ascii="宋体" w:hAnsi="宋体"/>
                <w:szCs w:val="21"/>
              </w:rPr>
              <w:t>主要人员：20分</w:t>
            </w:r>
          </w:p>
          <w:p>
            <w:pPr>
              <w:spacing w:line="360" w:lineRule="auto"/>
              <w:rPr>
                <w:rFonts w:ascii="宋体" w:hAnsi="宋体"/>
                <w:szCs w:val="21"/>
              </w:rPr>
            </w:pPr>
            <w:r>
              <w:rPr>
                <w:rFonts w:hint="eastAsia" w:ascii="宋体" w:hAnsi="宋体"/>
                <w:szCs w:val="21"/>
              </w:rPr>
              <w:t>业绩：</w:t>
            </w:r>
            <w:r>
              <w:rPr>
                <w:rFonts w:ascii="宋体" w:hAnsi="宋体"/>
                <w:szCs w:val="21"/>
              </w:rPr>
              <w:t>25</w:t>
            </w:r>
            <w:r>
              <w:rPr>
                <w:rFonts w:hint="eastAsia" w:ascii="宋体" w:hAnsi="宋体"/>
                <w:szCs w:val="21"/>
              </w:rPr>
              <w:t>分</w:t>
            </w:r>
          </w:p>
          <w:p>
            <w:pPr>
              <w:spacing w:line="360" w:lineRule="auto"/>
              <w:rPr>
                <w:rFonts w:ascii="宋体" w:hAnsi="宋体"/>
                <w:b/>
                <w:szCs w:val="21"/>
              </w:rPr>
            </w:pPr>
            <w:r>
              <w:rPr>
                <w:rFonts w:hint="eastAsia" w:ascii="宋体" w:hAnsi="宋体"/>
                <w:b/>
                <w:szCs w:val="21"/>
              </w:rPr>
              <w:t>第二个信封（报价文件）评分分值构成：</w:t>
            </w:r>
          </w:p>
          <w:p>
            <w:pPr>
              <w:spacing w:line="360" w:lineRule="auto"/>
              <w:rPr>
                <w:rFonts w:ascii="宋体" w:hAnsi="宋体"/>
                <w:szCs w:val="21"/>
              </w:rPr>
            </w:pPr>
            <w:r>
              <w:rPr>
                <w:rFonts w:hint="eastAsia" w:ascii="宋体" w:hAnsi="宋体"/>
                <w:szCs w:val="21"/>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pct"/>
            <w:vAlign w:val="center"/>
          </w:tcPr>
          <w:p>
            <w:pPr>
              <w:spacing w:line="360" w:lineRule="auto"/>
              <w:jc w:val="center"/>
              <w:rPr>
                <w:rFonts w:ascii="宋体" w:hAnsi="宋体" w:cs="宋体"/>
                <w:szCs w:val="21"/>
              </w:rPr>
            </w:pPr>
            <w:r>
              <w:rPr>
                <w:rFonts w:hint="eastAsia" w:ascii="宋体" w:hAnsi="宋体" w:cs="宋体"/>
                <w:szCs w:val="21"/>
              </w:rPr>
              <w:t>2.2.2</w:t>
            </w:r>
          </w:p>
        </w:tc>
        <w:tc>
          <w:tcPr>
            <w:tcW w:w="636" w:type="pct"/>
            <w:vAlign w:val="center"/>
          </w:tcPr>
          <w:p>
            <w:pPr>
              <w:spacing w:line="360" w:lineRule="auto"/>
              <w:jc w:val="center"/>
              <w:rPr>
                <w:rFonts w:ascii="宋体" w:hAnsi="宋体" w:cs="宋体"/>
                <w:szCs w:val="21"/>
              </w:rPr>
            </w:pPr>
            <w:r>
              <w:rPr>
                <w:rFonts w:hint="eastAsia" w:ascii="宋体" w:hAnsi="宋体" w:cs="宋体"/>
                <w:szCs w:val="21"/>
              </w:rPr>
              <w:t>评标基准价计算方法</w:t>
            </w:r>
          </w:p>
        </w:tc>
        <w:tc>
          <w:tcPr>
            <w:tcW w:w="3829" w:type="pct"/>
            <w:vAlign w:val="center"/>
          </w:tcPr>
          <w:p>
            <w:pPr>
              <w:spacing w:line="360" w:lineRule="auto"/>
              <w:jc w:val="left"/>
              <w:rPr>
                <w:rFonts w:ascii="宋体" w:hAnsi="宋体" w:cs="宋体"/>
                <w:b/>
                <w:szCs w:val="21"/>
              </w:rPr>
            </w:pPr>
            <w:r>
              <w:rPr>
                <w:rFonts w:hint="eastAsia" w:ascii="宋体" w:hAnsi="宋体" w:cs="宋体"/>
                <w:b/>
                <w:szCs w:val="21"/>
              </w:rPr>
              <w:t>评标基准价的计算：</w:t>
            </w:r>
          </w:p>
          <w:p>
            <w:pPr>
              <w:spacing w:line="360" w:lineRule="auto"/>
              <w:jc w:val="left"/>
              <w:rPr>
                <w:rFonts w:ascii="宋体" w:hAnsi="宋体" w:cs="宋体"/>
                <w:szCs w:val="21"/>
              </w:rPr>
            </w:pPr>
            <w:r>
              <w:rPr>
                <w:rFonts w:hint="eastAsia" w:ascii="宋体" w:hAnsi="宋体" w:cs="宋体"/>
                <w:szCs w:val="21"/>
              </w:rPr>
              <w:t>在第二个信封开标现场，招标人将当场计算并宣布评标基准价。</w:t>
            </w:r>
          </w:p>
          <w:p>
            <w:pPr>
              <w:spacing w:line="360" w:lineRule="auto"/>
              <w:jc w:val="left"/>
              <w:rPr>
                <w:rFonts w:ascii="宋体" w:hAnsi="宋体" w:cs="宋体"/>
                <w:szCs w:val="21"/>
              </w:rPr>
            </w:pPr>
            <w:r>
              <w:rPr>
                <w:rFonts w:hint="eastAsia" w:ascii="宋体" w:hAnsi="宋体" w:cs="宋体"/>
                <w:szCs w:val="21"/>
              </w:rPr>
              <w:t>（1）评标价的确定：</w:t>
            </w:r>
          </w:p>
          <w:p>
            <w:pPr>
              <w:spacing w:line="360" w:lineRule="auto"/>
              <w:jc w:val="left"/>
              <w:rPr>
                <w:rFonts w:ascii="宋体" w:hAnsi="宋体" w:cs="宋体"/>
                <w:szCs w:val="21"/>
              </w:rPr>
            </w:pPr>
            <w:r>
              <w:rPr>
                <w:rFonts w:hint="eastAsia" w:ascii="宋体" w:hAnsi="宋体" w:cs="宋体"/>
                <w:szCs w:val="21"/>
              </w:rPr>
              <w:t>评标价=投标函文字报价</w:t>
            </w:r>
          </w:p>
          <w:p>
            <w:pPr>
              <w:spacing w:line="360" w:lineRule="auto"/>
              <w:jc w:val="left"/>
              <w:rPr>
                <w:rFonts w:ascii="宋体" w:hAnsi="宋体" w:cs="宋体"/>
                <w:szCs w:val="21"/>
              </w:rPr>
            </w:pPr>
            <w:r>
              <w:rPr>
                <w:rFonts w:hint="eastAsia" w:ascii="宋体" w:hAnsi="宋体" w:cs="宋体"/>
                <w:szCs w:val="21"/>
              </w:rPr>
              <w:t>（2）评标价平均值的计算：</w:t>
            </w:r>
          </w:p>
          <w:p>
            <w:pPr>
              <w:spacing w:line="360" w:lineRule="auto"/>
              <w:jc w:val="left"/>
              <w:rPr>
                <w:rFonts w:ascii="宋体" w:hAnsi="宋体" w:cs="宋体"/>
                <w:szCs w:val="21"/>
              </w:rPr>
            </w:pPr>
            <w:r>
              <w:rPr>
                <w:rFonts w:hint="eastAsia" w:ascii="宋体" w:hAnsi="宋体"/>
                <w:szCs w:val="21"/>
              </w:rPr>
              <w:t>除按第二章“投标人须知”第5.2.</w:t>
            </w:r>
            <w:r>
              <w:rPr>
                <w:rFonts w:ascii="宋体" w:hAnsi="宋体"/>
                <w:szCs w:val="21"/>
              </w:rPr>
              <w:t>4</w:t>
            </w:r>
            <w:r>
              <w:rPr>
                <w:rFonts w:hint="eastAsia" w:ascii="宋体" w:hAnsi="宋体"/>
                <w:szCs w:val="21"/>
              </w:rPr>
              <w:t>项规定开标现场被宣布为不进入评标基准价计算的投标报价之外，所有投标人的评标价去掉一个最高值和一个最低值后的算术平均值即为评标价平均值（如果参与评标基准价计算的有效投标人少于5家时，则计算评标价平均值时不去掉最高值和最低值）</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（3）评标基准价的确定：</w:t>
            </w:r>
          </w:p>
          <w:p>
            <w:pPr>
              <w:spacing w:line="360" w:lineRule="auto"/>
              <w:jc w:val="left"/>
              <w:rPr>
                <w:rFonts w:ascii="宋体" w:hAnsi="宋体" w:cs="宋体"/>
                <w:szCs w:val="21"/>
              </w:rPr>
            </w:pPr>
            <w:r>
              <w:rPr>
                <w:rFonts w:hint="eastAsia" w:ascii="宋体" w:hAnsi="宋体" w:cs="宋体"/>
                <w:szCs w:val="21"/>
              </w:rPr>
              <w:t>将评标价平均值直接作为评标基准价</w:t>
            </w:r>
            <w:r>
              <w:rPr>
                <w:rFonts w:hint="eastAsia" w:ascii="宋体" w:hAnsi="宋体"/>
                <w:szCs w:val="21"/>
              </w:rPr>
              <w:t>（评标基准价保留小数点后2位，小数点后第3位“四舍五入”）</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pct"/>
            <w:vAlign w:val="center"/>
          </w:tcPr>
          <w:p>
            <w:pPr>
              <w:spacing w:line="360" w:lineRule="auto"/>
              <w:jc w:val="center"/>
              <w:rPr>
                <w:rFonts w:ascii="宋体" w:hAnsi="宋体" w:cs="宋体"/>
                <w:szCs w:val="21"/>
              </w:rPr>
            </w:pPr>
            <w:r>
              <w:rPr>
                <w:rFonts w:hint="eastAsia" w:ascii="宋体" w:hAnsi="宋体" w:cs="宋体"/>
                <w:szCs w:val="21"/>
              </w:rPr>
              <w:t>2.2.3</w:t>
            </w:r>
          </w:p>
        </w:tc>
        <w:tc>
          <w:tcPr>
            <w:tcW w:w="636" w:type="pct"/>
            <w:vAlign w:val="center"/>
          </w:tcPr>
          <w:p>
            <w:pPr>
              <w:ind w:left="113" w:right="113"/>
              <w:rPr>
                <w:rFonts w:ascii="宋体" w:hAnsi="宋体"/>
                <w:szCs w:val="21"/>
              </w:rPr>
            </w:pPr>
            <w:r>
              <w:rPr>
                <w:rFonts w:hint="eastAsia" w:ascii="宋体" w:hAnsi="宋体" w:cs="宋体"/>
                <w:szCs w:val="21"/>
              </w:rPr>
              <w:t>评标价的偏差率计算公式</w:t>
            </w:r>
          </w:p>
        </w:tc>
        <w:tc>
          <w:tcPr>
            <w:tcW w:w="3829" w:type="pct"/>
            <w:vAlign w:val="center"/>
          </w:tcPr>
          <w:p>
            <w:pPr>
              <w:spacing w:line="360" w:lineRule="auto"/>
              <w:jc w:val="left"/>
              <w:rPr>
                <w:rFonts w:ascii="宋体" w:hAnsi="宋体" w:cs="宋体"/>
                <w:szCs w:val="21"/>
              </w:rPr>
            </w:pPr>
            <w:r>
              <w:rPr>
                <w:rFonts w:hint="eastAsia" w:ascii="宋体" w:hAnsi="宋体" w:cs="宋体"/>
                <w:szCs w:val="21"/>
              </w:rPr>
              <w:t>偏差率=100%×(投标人评标价-评标基准价)/评标基准价</w:t>
            </w:r>
          </w:p>
          <w:p>
            <w:pPr>
              <w:spacing w:line="360" w:lineRule="auto"/>
              <w:jc w:val="left"/>
              <w:rPr>
                <w:rFonts w:ascii="宋体" w:hAnsi="宋体" w:cs="宋体"/>
                <w:szCs w:val="21"/>
              </w:rPr>
            </w:pPr>
            <w:r>
              <w:rPr>
                <w:rFonts w:ascii="宋体" w:hAnsi="宋体" w:cs="宋体"/>
                <w:szCs w:val="21"/>
              </w:rPr>
              <w:t>偏差率保留2</w:t>
            </w:r>
            <w:r>
              <w:rPr>
                <w:rFonts w:hint="eastAsia" w:ascii="宋体" w:hAnsi="宋体" w:cs="宋体"/>
                <w:szCs w:val="21"/>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pct"/>
            <w:vAlign w:val="center"/>
          </w:tcPr>
          <w:p>
            <w:pPr>
              <w:spacing w:line="360" w:lineRule="auto"/>
              <w:jc w:val="center"/>
              <w:rPr>
                <w:rFonts w:ascii="宋体" w:hAnsi="宋体" w:cs="宋体"/>
                <w:szCs w:val="21"/>
              </w:rPr>
            </w:pPr>
            <w:r>
              <w:rPr>
                <w:rFonts w:hint="eastAsia" w:ascii="宋体" w:hAnsi="宋体" w:cs="宋体"/>
                <w:szCs w:val="21"/>
              </w:rPr>
              <w:t>3.6.1</w:t>
            </w:r>
          </w:p>
        </w:tc>
        <w:tc>
          <w:tcPr>
            <w:tcW w:w="636" w:type="pct"/>
            <w:vAlign w:val="center"/>
          </w:tcPr>
          <w:p>
            <w:pPr>
              <w:spacing w:line="360" w:lineRule="auto"/>
              <w:ind w:left="113" w:right="113"/>
              <w:jc w:val="center"/>
              <w:rPr>
                <w:rFonts w:ascii="宋体" w:hAnsi="宋体" w:cs="宋体"/>
                <w:szCs w:val="21"/>
              </w:rPr>
            </w:pPr>
            <w:r>
              <w:rPr>
                <w:rFonts w:hint="eastAsia" w:ascii="宋体" w:hAnsi="宋体" w:cs="宋体"/>
                <w:szCs w:val="21"/>
              </w:rPr>
              <w:t>信息</w:t>
            </w:r>
          </w:p>
          <w:p>
            <w:pPr>
              <w:spacing w:line="360" w:lineRule="auto"/>
              <w:ind w:left="113" w:right="113"/>
              <w:jc w:val="center"/>
              <w:rPr>
                <w:rFonts w:ascii="宋体" w:hAnsi="宋体" w:cs="宋体"/>
                <w:szCs w:val="21"/>
              </w:rPr>
            </w:pPr>
            <w:r>
              <w:rPr>
                <w:rFonts w:hint="eastAsia" w:ascii="宋体" w:hAnsi="宋体" w:cs="宋体"/>
                <w:szCs w:val="21"/>
              </w:rPr>
              <w:t>查询</w:t>
            </w:r>
          </w:p>
        </w:tc>
        <w:tc>
          <w:tcPr>
            <w:tcW w:w="3829" w:type="pct"/>
            <w:vAlign w:val="center"/>
          </w:tcPr>
          <w:p>
            <w:pPr>
              <w:adjustRightInd w:val="0"/>
              <w:snapToGrid w:val="0"/>
              <w:spacing w:line="300" w:lineRule="exact"/>
              <w:rPr>
                <w:rFonts w:ascii="宋体" w:hAnsi="宋体"/>
              </w:rPr>
            </w:pPr>
            <w:r>
              <w:rPr>
                <w:rFonts w:hint="eastAsia" w:ascii="宋体" w:hAnsi="宋体"/>
              </w:rPr>
              <w:t>在评标过程中，评标委员会应对以下信息进行查询：</w:t>
            </w:r>
          </w:p>
          <w:p>
            <w:pPr>
              <w:ind w:firstLine="420" w:firstLineChars="200"/>
              <w:rPr>
                <w:rFonts w:ascii="宋体" w:hAnsi="宋体"/>
                <w:szCs w:val="21"/>
              </w:rPr>
            </w:pPr>
            <w:r>
              <w:rPr>
                <w:rFonts w:hint="eastAsia" w:ascii="宋体" w:hAnsi="宋体"/>
              </w:rPr>
              <w:t>（1）</w:t>
            </w:r>
            <w:r>
              <w:rPr>
                <w:rFonts w:hint="eastAsia" w:ascii="宋体" w:hAnsi="宋体"/>
                <w:szCs w:val="21"/>
              </w:rPr>
              <w:t>投标人在“信用中国”网站(http://www.creditchina.gov.cn/)中未被列入失信被执行人名单、企业经营异常名录、重大税收违法案件当事人名单、政府采购严重违法失信名单（均不含分公司）；</w:t>
            </w:r>
          </w:p>
          <w:p>
            <w:pPr>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）投标人在国家企业信用信息公示系统（</w:t>
            </w:r>
            <w:r>
              <w:rPr>
                <w:rFonts w:ascii="宋体" w:hAnsi="宋体"/>
                <w:szCs w:val="21"/>
              </w:rPr>
              <w:t>http://www.gsxt.gov.cn/</w:t>
            </w:r>
            <w:r>
              <w:rPr>
                <w:rFonts w:hint="eastAsia" w:ascii="宋体" w:hAnsi="宋体"/>
                <w:szCs w:val="21"/>
              </w:rPr>
              <w:t>）中未被列入严重违法失信企业名单（不含分公司）。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000" w:type="pct"/>
            <w:gridSpan w:val="3"/>
            <w:vAlign w:val="center"/>
          </w:tcPr>
          <w:p>
            <w:pPr>
              <w:spacing w:line="360" w:lineRule="auto"/>
              <w:rPr>
                <w:rFonts w:ascii="宋体" w:hAnsi="宋体" w:cs="宋体"/>
                <w:szCs w:val="21"/>
              </w:rPr>
            </w:pPr>
            <w:r>
              <w:rPr>
                <w:rFonts w:hint="eastAsia" w:ascii="宋体" w:hAnsi="宋体" w:cs="宋体"/>
                <w:szCs w:val="21"/>
              </w:rPr>
              <w:t>需要补充的其他内容：无</w:t>
            </w:r>
          </w:p>
        </w:tc>
      </w:tr>
    </w:tbl>
    <w:p>
      <w:pPr>
        <w:widowControl/>
        <w:jc w:val="left"/>
        <w:rPr>
          <w:rFonts w:ascii="宋体" w:hAnsi="宋体"/>
          <w:sz w:val="24"/>
          <w:szCs w:val="20"/>
        </w:rPr>
      </w:pPr>
      <w:r>
        <w:rPr>
          <w:rFonts w:ascii="宋体" w:hAnsi="宋体"/>
          <w:sz w:val="24"/>
        </w:rPr>
        <w:br w:type="page"/>
      </w:r>
    </w:p>
    <w:p>
      <w:pPr>
        <w:spacing w:line="360" w:lineRule="auto"/>
        <w:rPr>
          <w:rFonts w:ascii="宋体" w:hAnsi="宋体"/>
          <w:sz w:val="24"/>
        </w:rPr>
      </w:pPr>
      <w:r>
        <w:rPr>
          <w:rFonts w:hint="eastAsia" w:ascii="宋体" w:hAnsi="宋体"/>
          <w:sz w:val="24"/>
        </w:rPr>
        <w:t>具体评分标准如下：</w:t>
      </w:r>
    </w:p>
    <w:tbl>
      <w:tblPr>
        <w:tblStyle w:val="3"/>
        <w:tblW w:w="5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632"/>
        <w:gridCol w:w="713"/>
        <w:gridCol w:w="1741"/>
        <w:gridCol w:w="538"/>
        <w:gridCol w:w="5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282" w:type="pct"/>
            <w:gridSpan w:val="5"/>
            <w:vAlign w:val="center"/>
          </w:tcPr>
          <w:p>
            <w:pPr>
              <w:spacing w:line="160" w:lineRule="atLeast"/>
              <w:jc w:val="center"/>
              <w:rPr>
                <w:rFonts w:ascii="宋体" w:hAnsi="宋体"/>
                <w:szCs w:val="21"/>
              </w:rPr>
            </w:pPr>
            <w:r>
              <w:rPr>
                <w:rFonts w:hint="eastAsia" w:ascii="宋体" w:hAnsi="宋体"/>
                <w:szCs w:val="21"/>
              </w:rPr>
              <w:t>评分因素与权重分值</w:t>
            </w:r>
          </w:p>
        </w:tc>
        <w:tc>
          <w:tcPr>
            <w:tcW w:w="2718" w:type="pct"/>
            <w:vMerge w:val="restart"/>
            <w:vAlign w:val="center"/>
          </w:tcPr>
          <w:p>
            <w:pPr>
              <w:spacing w:line="160" w:lineRule="atLeast"/>
              <w:jc w:val="center"/>
              <w:rPr>
                <w:rFonts w:ascii="宋体" w:hAns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6" w:type="pct"/>
            <w:vAlign w:val="center"/>
          </w:tcPr>
          <w:p>
            <w:pPr>
              <w:spacing w:line="160" w:lineRule="atLeast"/>
              <w:jc w:val="center"/>
              <w:rPr>
                <w:rFonts w:ascii="宋体" w:hAnsi="宋体"/>
                <w:szCs w:val="21"/>
              </w:rPr>
            </w:pPr>
            <w:r>
              <w:rPr>
                <w:rFonts w:hint="eastAsia" w:ascii="宋体" w:hAnsi="宋体"/>
                <w:szCs w:val="21"/>
              </w:rPr>
              <w:t>条款号</w:t>
            </w:r>
          </w:p>
        </w:tc>
        <w:tc>
          <w:tcPr>
            <w:tcW w:w="329" w:type="pct"/>
            <w:vAlign w:val="center"/>
          </w:tcPr>
          <w:p>
            <w:pPr>
              <w:spacing w:line="160" w:lineRule="atLeast"/>
              <w:jc w:val="center"/>
              <w:rPr>
                <w:rFonts w:ascii="宋体" w:hAnsi="宋体"/>
                <w:szCs w:val="21"/>
              </w:rPr>
            </w:pPr>
            <w:r>
              <w:rPr>
                <w:rFonts w:hint="eastAsia" w:ascii="宋体" w:hAnsi="宋体"/>
                <w:szCs w:val="21"/>
              </w:rPr>
              <w:t>评分因素</w:t>
            </w:r>
          </w:p>
        </w:tc>
        <w:tc>
          <w:tcPr>
            <w:tcW w:w="371" w:type="pct"/>
            <w:vAlign w:val="center"/>
          </w:tcPr>
          <w:p>
            <w:pPr>
              <w:spacing w:line="160" w:lineRule="atLeast"/>
              <w:jc w:val="center"/>
              <w:rPr>
                <w:rFonts w:ascii="宋体" w:hAnsi="宋体"/>
                <w:szCs w:val="21"/>
              </w:rPr>
            </w:pPr>
            <w:r>
              <w:rPr>
                <w:rFonts w:hint="eastAsia" w:ascii="宋体" w:hAnsi="宋体"/>
                <w:szCs w:val="21"/>
              </w:rPr>
              <w:t>评分因素 权重分值</w:t>
            </w:r>
          </w:p>
        </w:tc>
        <w:tc>
          <w:tcPr>
            <w:tcW w:w="906" w:type="pct"/>
            <w:vAlign w:val="center"/>
          </w:tcPr>
          <w:p>
            <w:pPr>
              <w:spacing w:line="160" w:lineRule="atLeast"/>
              <w:jc w:val="center"/>
              <w:rPr>
                <w:rFonts w:ascii="宋体" w:hAnsi="宋体"/>
                <w:szCs w:val="21"/>
              </w:rPr>
            </w:pPr>
            <w:r>
              <w:rPr>
                <w:rStyle w:val="7"/>
                <w:rFonts w:ascii="宋体" w:hAnsi="宋体"/>
              </w:rPr>
              <w:t>各评分因素细分项</w:t>
            </w:r>
          </w:p>
        </w:tc>
        <w:tc>
          <w:tcPr>
            <w:tcW w:w="280" w:type="pct"/>
            <w:vAlign w:val="center"/>
          </w:tcPr>
          <w:p>
            <w:pPr>
              <w:spacing w:line="160" w:lineRule="atLeast"/>
              <w:jc w:val="center"/>
              <w:rPr>
                <w:rFonts w:ascii="宋体" w:hAnsi="宋体"/>
                <w:szCs w:val="21"/>
              </w:rPr>
            </w:pPr>
            <w:r>
              <w:rPr>
                <w:rFonts w:hint="eastAsia" w:ascii="宋体" w:hAnsi="宋体"/>
                <w:szCs w:val="21"/>
              </w:rPr>
              <w:t>分值</w:t>
            </w:r>
          </w:p>
        </w:tc>
        <w:tc>
          <w:tcPr>
            <w:tcW w:w="2718" w:type="pct"/>
            <w:vMerge w:val="continue"/>
            <w:vAlign w:val="center"/>
          </w:tcPr>
          <w:p>
            <w:pPr>
              <w:spacing w:line="16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restart"/>
            <w:vAlign w:val="center"/>
          </w:tcPr>
          <w:p>
            <w:pPr>
              <w:spacing w:line="160" w:lineRule="atLeast"/>
              <w:jc w:val="center"/>
              <w:rPr>
                <w:rFonts w:ascii="宋体" w:hAnsi="宋体"/>
                <w:szCs w:val="21"/>
              </w:rPr>
            </w:pPr>
            <w:r>
              <w:rPr>
                <w:rFonts w:hint="eastAsia" w:ascii="宋体" w:hAnsi="宋体"/>
                <w:szCs w:val="21"/>
              </w:rPr>
              <w:t>2.2.4（1）</w:t>
            </w:r>
          </w:p>
        </w:tc>
        <w:tc>
          <w:tcPr>
            <w:tcW w:w="329" w:type="pct"/>
            <w:vMerge w:val="restart"/>
            <w:vAlign w:val="center"/>
          </w:tcPr>
          <w:p>
            <w:pPr>
              <w:spacing w:line="160" w:lineRule="atLeast"/>
              <w:jc w:val="center"/>
              <w:rPr>
                <w:rFonts w:ascii="宋体" w:hAnsi="宋体"/>
                <w:szCs w:val="21"/>
              </w:rPr>
            </w:pPr>
            <w:r>
              <w:rPr>
                <w:rFonts w:hint="eastAsia" w:ascii="宋体" w:hAnsi="宋体"/>
                <w:szCs w:val="21"/>
              </w:rPr>
              <w:t>技术建议书</w:t>
            </w:r>
          </w:p>
        </w:tc>
        <w:tc>
          <w:tcPr>
            <w:tcW w:w="371" w:type="pct"/>
            <w:vMerge w:val="restart"/>
            <w:vAlign w:val="center"/>
          </w:tcPr>
          <w:p>
            <w:pPr>
              <w:spacing w:line="160" w:lineRule="atLeast"/>
              <w:jc w:val="center"/>
              <w:rPr>
                <w:rFonts w:ascii="宋体" w:hAnsi="宋体"/>
                <w:szCs w:val="21"/>
              </w:rPr>
            </w:pPr>
            <w:r>
              <w:rPr>
                <w:rFonts w:hint="eastAsia" w:ascii="宋体" w:hAnsi="宋体"/>
                <w:szCs w:val="21"/>
              </w:rPr>
              <w:t>45分</w:t>
            </w:r>
          </w:p>
        </w:tc>
        <w:tc>
          <w:tcPr>
            <w:tcW w:w="906" w:type="pct"/>
            <w:vMerge w:val="restart"/>
            <w:vAlign w:val="center"/>
          </w:tcPr>
          <w:p>
            <w:pPr>
              <w:spacing w:line="160" w:lineRule="atLeast"/>
              <w:jc w:val="center"/>
              <w:rPr>
                <w:rFonts w:ascii="宋体" w:hAnsi="宋体"/>
                <w:szCs w:val="21"/>
              </w:rPr>
            </w:pPr>
            <w:r>
              <w:rPr>
                <w:rFonts w:hint="eastAsia" w:ascii="宋体" w:hAnsi="宋体"/>
                <w:szCs w:val="21"/>
              </w:rPr>
              <w:t>检测工作大纲</w:t>
            </w:r>
          </w:p>
          <w:p>
            <w:pPr>
              <w:spacing w:line="160" w:lineRule="atLeast"/>
              <w:jc w:val="center"/>
              <w:rPr>
                <w:rFonts w:ascii="宋体" w:hAnsi="宋体"/>
                <w:szCs w:val="21"/>
              </w:rPr>
            </w:pPr>
            <w:r>
              <w:rPr>
                <w:rFonts w:hint="eastAsia" w:ascii="宋体" w:hAnsi="宋体"/>
                <w:szCs w:val="21"/>
              </w:rPr>
              <w:t>8分</w:t>
            </w:r>
          </w:p>
        </w:tc>
        <w:tc>
          <w:tcPr>
            <w:tcW w:w="280" w:type="pct"/>
            <w:vMerge w:val="restart"/>
            <w:vAlign w:val="center"/>
          </w:tcPr>
          <w:p>
            <w:pPr>
              <w:spacing w:line="160" w:lineRule="atLeast"/>
              <w:jc w:val="center"/>
              <w:rPr>
                <w:rFonts w:ascii="宋体" w:hAnsi="宋体"/>
                <w:szCs w:val="21"/>
              </w:rPr>
            </w:pPr>
            <w:r>
              <w:rPr>
                <w:rFonts w:hint="eastAsia" w:ascii="宋体" w:hAnsi="宋体"/>
                <w:szCs w:val="21"/>
              </w:rPr>
              <w:t>8分</w:t>
            </w:r>
          </w:p>
        </w:tc>
        <w:tc>
          <w:tcPr>
            <w:tcW w:w="2718" w:type="pct"/>
            <w:vAlign w:val="center"/>
          </w:tcPr>
          <w:p>
            <w:pPr>
              <w:spacing w:line="160" w:lineRule="atLeast"/>
              <w:jc w:val="left"/>
              <w:rPr>
                <w:rFonts w:ascii="宋体" w:hAnsi="宋体"/>
                <w:szCs w:val="21"/>
              </w:rPr>
            </w:pPr>
            <w:r>
              <w:rPr>
                <w:rFonts w:hint="eastAsia" w:ascii="宋体" w:hAnsi="宋体"/>
                <w:szCs w:val="21"/>
              </w:rPr>
              <w:t>科学先进，措施完善，可操作性强</w:t>
            </w:r>
            <w:r>
              <w:rPr>
                <w:rFonts w:ascii="宋体" w:hAnsi="宋体"/>
                <w:szCs w:val="21"/>
              </w:rPr>
              <w:t>6</w:t>
            </w:r>
            <w:r>
              <w:rPr>
                <w:rFonts w:hint="eastAsia" w:ascii="宋体" w:hAnsi="宋体"/>
                <w:szCs w:val="21"/>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continue"/>
            <w:vAlign w:val="center"/>
          </w:tcPr>
          <w:p>
            <w:pPr>
              <w:spacing w:line="160" w:lineRule="atLeast"/>
              <w:jc w:val="center"/>
              <w:rPr>
                <w:rFonts w:ascii="宋体" w:hAnsi="宋体"/>
                <w:szCs w:val="21"/>
              </w:rPr>
            </w:pPr>
          </w:p>
        </w:tc>
        <w:tc>
          <w:tcPr>
            <w:tcW w:w="280" w:type="pct"/>
            <w:vMerge w:val="continue"/>
            <w:vAlign w:val="center"/>
          </w:tcPr>
          <w:p>
            <w:pPr>
              <w:spacing w:line="160" w:lineRule="atLeast"/>
              <w:jc w:val="center"/>
              <w:rPr>
                <w:rFonts w:ascii="宋体" w:hAnsi="宋体"/>
                <w:szCs w:val="21"/>
              </w:rPr>
            </w:pPr>
          </w:p>
        </w:tc>
        <w:tc>
          <w:tcPr>
            <w:tcW w:w="2718" w:type="pct"/>
            <w:vAlign w:val="center"/>
          </w:tcPr>
          <w:p>
            <w:pPr>
              <w:spacing w:line="160" w:lineRule="atLeast"/>
              <w:jc w:val="left"/>
              <w:rPr>
                <w:rFonts w:ascii="宋体" w:hAnsi="宋体"/>
                <w:szCs w:val="21"/>
              </w:rPr>
            </w:pPr>
            <w:r>
              <w:rPr>
                <w:rFonts w:hint="eastAsia" w:ascii="宋体" w:hAnsi="宋体"/>
                <w:szCs w:val="21"/>
              </w:rPr>
              <w:t>合理，可行</w:t>
            </w:r>
            <w:r>
              <w:rPr>
                <w:rFonts w:ascii="宋体" w:hAnsi="宋体"/>
                <w:szCs w:val="21"/>
              </w:rPr>
              <w:t>4.8</w:t>
            </w:r>
            <w:r>
              <w:rPr>
                <w:rFonts w:hint="eastAsia" w:ascii="宋体" w:hAnsi="宋体"/>
                <w:szCs w:val="21"/>
              </w:rPr>
              <w:t>-</w:t>
            </w:r>
            <w:r>
              <w:rPr>
                <w:rFonts w:ascii="宋体" w:hAnsi="宋体"/>
                <w:szCs w:val="21"/>
              </w:rPr>
              <w:t>6</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continue"/>
            <w:vAlign w:val="center"/>
          </w:tcPr>
          <w:p>
            <w:pPr>
              <w:spacing w:line="160" w:lineRule="atLeast"/>
              <w:jc w:val="center"/>
              <w:rPr>
                <w:rFonts w:ascii="宋体" w:hAnsi="宋体"/>
                <w:szCs w:val="21"/>
              </w:rPr>
            </w:pPr>
          </w:p>
        </w:tc>
        <w:tc>
          <w:tcPr>
            <w:tcW w:w="280" w:type="pct"/>
            <w:vMerge w:val="continue"/>
            <w:vAlign w:val="center"/>
          </w:tcPr>
          <w:p>
            <w:pPr>
              <w:spacing w:line="160" w:lineRule="atLeast"/>
              <w:jc w:val="center"/>
              <w:rPr>
                <w:rFonts w:ascii="宋体" w:hAnsi="宋体"/>
                <w:szCs w:val="21"/>
              </w:rPr>
            </w:pPr>
          </w:p>
        </w:tc>
        <w:tc>
          <w:tcPr>
            <w:tcW w:w="2718" w:type="pct"/>
            <w:vAlign w:val="center"/>
          </w:tcPr>
          <w:p>
            <w:pPr>
              <w:spacing w:line="160" w:lineRule="atLeast"/>
              <w:jc w:val="left"/>
              <w:rPr>
                <w:rFonts w:ascii="宋体" w:hAnsi="宋体"/>
                <w:szCs w:val="21"/>
              </w:rPr>
            </w:pPr>
            <w:r>
              <w:rPr>
                <w:rFonts w:hint="eastAsia" w:ascii="宋体" w:hAnsi="宋体"/>
                <w:szCs w:val="21"/>
              </w:rPr>
              <w:t>缺项或</w:t>
            </w:r>
            <w:r>
              <w:rPr>
                <w:rFonts w:ascii="宋体" w:hAnsi="宋体"/>
                <w:szCs w:val="21"/>
              </w:rPr>
              <w:t>不合理</w:t>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restart"/>
            <w:vAlign w:val="center"/>
          </w:tcPr>
          <w:p>
            <w:pPr>
              <w:spacing w:line="160" w:lineRule="atLeast"/>
              <w:jc w:val="center"/>
              <w:rPr>
                <w:rFonts w:ascii="宋体" w:hAnsi="宋体"/>
                <w:szCs w:val="21"/>
              </w:rPr>
            </w:pPr>
            <w:r>
              <w:rPr>
                <w:rFonts w:hint="eastAsia" w:ascii="宋体" w:hAnsi="宋体"/>
                <w:szCs w:val="21"/>
              </w:rPr>
              <w:t>质量、进度、安全保证措施</w:t>
            </w:r>
          </w:p>
          <w:p>
            <w:pPr>
              <w:spacing w:line="160" w:lineRule="atLeast"/>
              <w:jc w:val="center"/>
              <w:rPr>
                <w:rFonts w:ascii="宋体" w:hAnsi="宋体"/>
                <w:szCs w:val="21"/>
              </w:rPr>
            </w:pPr>
            <w:r>
              <w:rPr>
                <w:rFonts w:hint="eastAsia" w:ascii="宋体" w:hAnsi="宋体"/>
                <w:szCs w:val="21"/>
              </w:rPr>
              <w:t>8分</w:t>
            </w:r>
          </w:p>
        </w:tc>
        <w:tc>
          <w:tcPr>
            <w:tcW w:w="280" w:type="pct"/>
            <w:vMerge w:val="restart"/>
            <w:vAlign w:val="center"/>
          </w:tcPr>
          <w:p>
            <w:pPr>
              <w:spacing w:line="160" w:lineRule="atLeast"/>
              <w:jc w:val="center"/>
              <w:rPr>
                <w:rFonts w:ascii="宋体" w:hAnsi="宋体"/>
                <w:szCs w:val="21"/>
              </w:rPr>
            </w:pPr>
            <w:r>
              <w:rPr>
                <w:rFonts w:hint="eastAsia" w:ascii="宋体" w:hAnsi="宋体"/>
                <w:szCs w:val="21"/>
              </w:rPr>
              <w:t>8分</w:t>
            </w:r>
          </w:p>
        </w:tc>
        <w:tc>
          <w:tcPr>
            <w:tcW w:w="2718" w:type="pct"/>
            <w:vAlign w:val="center"/>
          </w:tcPr>
          <w:p>
            <w:pPr>
              <w:spacing w:line="160" w:lineRule="atLeast"/>
              <w:jc w:val="left"/>
              <w:rPr>
                <w:rFonts w:ascii="宋体" w:hAnsi="宋体"/>
                <w:szCs w:val="21"/>
              </w:rPr>
            </w:pPr>
            <w:r>
              <w:rPr>
                <w:rFonts w:hint="eastAsia" w:ascii="宋体" w:hAnsi="宋体"/>
                <w:szCs w:val="21"/>
              </w:rPr>
              <w:t>科学先进、严密</w:t>
            </w:r>
            <w:r>
              <w:rPr>
                <w:rFonts w:ascii="宋体" w:hAnsi="宋体"/>
                <w:szCs w:val="21"/>
              </w:rPr>
              <w:t>6</w:t>
            </w:r>
            <w:r>
              <w:rPr>
                <w:rFonts w:hint="eastAsia" w:ascii="宋体" w:hAnsi="宋体"/>
                <w:szCs w:val="21"/>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continue"/>
            <w:vAlign w:val="center"/>
          </w:tcPr>
          <w:p>
            <w:pPr>
              <w:spacing w:line="160" w:lineRule="atLeast"/>
              <w:jc w:val="center"/>
              <w:rPr>
                <w:rFonts w:ascii="宋体" w:hAnsi="宋体"/>
                <w:szCs w:val="21"/>
              </w:rPr>
            </w:pPr>
          </w:p>
        </w:tc>
        <w:tc>
          <w:tcPr>
            <w:tcW w:w="280" w:type="pct"/>
            <w:vMerge w:val="continue"/>
            <w:vAlign w:val="center"/>
          </w:tcPr>
          <w:p>
            <w:pPr>
              <w:spacing w:line="160" w:lineRule="atLeast"/>
              <w:jc w:val="center"/>
              <w:rPr>
                <w:rFonts w:ascii="宋体" w:hAnsi="宋体"/>
                <w:szCs w:val="21"/>
              </w:rPr>
            </w:pPr>
          </w:p>
        </w:tc>
        <w:tc>
          <w:tcPr>
            <w:tcW w:w="2718" w:type="pct"/>
            <w:vAlign w:val="center"/>
          </w:tcPr>
          <w:p>
            <w:pPr>
              <w:spacing w:line="160" w:lineRule="atLeast"/>
              <w:jc w:val="left"/>
              <w:rPr>
                <w:rFonts w:ascii="宋体" w:hAnsi="宋体"/>
                <w:szCs w:val="21"/>
              </w:rPr>
            </w:pPr>
            <w:r>
              <w:rPr>
                <w:rFonts w:hint="eastAsia" w:ascii="宋体" w:hAnsi="宋体"/>
                <w:szCs w:val="21"/>
              </w:rPr>
              <w:t>合理，可行</w:t>
            </w:r>
            <w:r>
              <w:rPr>
                <w:rFonts w:ascii="宋体" w:hAnsi="宋体"/>
                <w:szCs w:val="21"/>
              </w:rPr>
              <w:t>4.8</w:t>
            </w:r>
            <w:r>
              <w:rPr>
                <w:rFonts w:hint="eastAsia" w:ascii="宋体" w:hAnsi="宋体"/>
                <w:szCs w:val="21"/>
              </w:rPr>
              <w:t>-</w:t>
            </w:r>
            <w:r>
              <w:rPr>
                <w:rFonts w:ascii="宋体" w:hAnsi="宋体"/>
                <w:szCs w:val="21"/>
              </w:rPr>
              <w:t>6</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continue"/>
            <w:vAlign w:val="center"/>
          </w:tcPr>
          <w:p>
            <w:pPr>
              <w:spacing w:line="160" w:lineRule="atLeast"/>
              <w:jc w:val="center"/>
              <w:rPr>
                <w:rFonts w:ascii="宋体" w:hAnsi="宋体"/>
                <w:szCs w:val="21"/>
              </w:rPr>
            </w:pPr>
          </w:p>
        </w:tc>
        <w:tc>
          <w:tcPr>
            <w:tcW w:w="280" w:type="pct"/>
            <w:vMerge w:val="continue"/>
            <w:vAlign w:val="center"/>
          </w:tcPr>
          <w:p>
            <w:pPr>
              <w:spacing w:line="160" w:lineRule="atLeast"/>
              <w:jc w:val="center"/>
              <w:rPr>
                <w:rFonts w:ascii="宋体" w:hAnsi="宋体"/>
                <w:szCs w:val="21"/>
              </w:rPr>
            </w:pPr>
          </w:p>
        </w:tc>
        <w:tc>
          <w:tcPr>
            <w:tcW w:w="2718" w:type="pct"/>
            <w:vAlign w:val="center"/>
          </w:tcPr>
          <w:p>
            <w:pPr>
              <w:spacing w:line="160" w:lineRule="atLeast"/>
              <w:jc w:val="left"/>
              <w:rPr>
                <w:rFonts w:ascii="宋体" w:hAnsi="宋体"/>
                <w:szCs w:val="21"/>
              </w:rPr>
            </w:pPr>
            <w:r>
              <w:rPr>
                <w:rFonts w:hint="eastAsia" w:ascii="宋体" w:hAnsi="宋体"/>
                <w:szCs w:val="21"/>
              </w:rPr>
              <w:t>缺项或</w:t>
            </w:r>
            <w:r>
              <w:rPr>
                <w:rFonts w:ascii="宋体" w:hAnsi="宋体"/>
                <w:szCs w:val="21"/>
              </w:rPr>
              <w:t>不合理</w:t>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restart"/>
            <w:vAlign w:val="center"/>
          </w:tcPr>
          <w:p>
            <w:pPr>
              <w:spacing w:line="160" w:lineRule="atLeast"/>
              <w:jc w:val="center"/>
              <w:rPr>
                <w:rFonts w:ascii="宋体" w:hAnsi="宋体"/>
                <w:szCs w:val="21"/>
              </w:rPr>
            </w:pPr>
            <w:r>
              <w:rPr>
                <w:rFonts w:hint="eastAsia" w:ascii="宋体" w:hAnsi="宋体"/>
                <w:szCs w:val="21"/>
              </w:rPr>
              <w:t>工程质量检测工作流程</w:t>
            </w:r>
          </w:p>
          <w:p>
            <w:pPr>
              <w:spacing w:line="160" w:lineRule="atLeast"/>
              <w:jc w:val="center"/>
              <w:rPr>
                <w:rFonts w:ascii="宋体" w:hAnsi="宋体"/>
                <w:szCs w:val="21"/>
              </w:rPr>
            </w:pPr>
            <w:r>
              <w:rPr>
                <w:rFonts w:hint="eastAsia" w:ascii="宋体" w:hAnsi="宋体"/>
                <w:szCs w:val="21"/>
              </w:rPr>
              <w:t>8分</w:t>
            </w:r>
          </w:p>
        </w:tc>
        <w:tc>
          <w:tcPr>
            <w:tcW w:w="280" w:type="pct"/>
            <w:vMerge w:val="restart"/>
            <w:vAlign w:val="center"/>
          </w:tcPr>
          <w:p>
            <w:pPr>
              <w:spacing w:line="160" w:lineRule="atLeast"/>
              <w:jc w:val="center"/>
              <w:rPr>
                <w:rFonts w:ascii="宋体" w:hAnsi="宋体"/>
                <w:szCs w:val="21"/>
              </w:rPr>
            </w:pPr>
            <w:r>
              <w:rPr>
                <w:rFonts w:hint="eastAsia" w:ascii="宋体" w:hAnsi="宋体"/>
                <w:szCs w:val="21"/>
              </w:rPr>
              <w:t>8分</w:t>
            </w:r>
          </w:p>
        </w:tc>
        <w:tc>
          <w:tcPr>
            <w:tcW w:w="2718" w:type="pct"/>
            <w:vAlign w:val="center"/>
          </w:tcPr>
          <w:p>
            <w:pPr>
              <w:spacing w:line="160" w:lineRule="atLeast"/>
              <w:jc w:val="left"/>
              <w:rPr>
                <w:rFonts w:ascii="宋体" w:hAnsi="宋体"/>
                <w:szCs w:val="21"/>
              </w:rPr>
            </w:pPr>
            <w:r>
              <w:rPr>
                <w:rFonts w:hint="eastAsia" w:ascii="宋体" w:hAnsi="宋体"/>
                <w:szCs w:val="21"/>
              </w:rPr>
              <w:t>科学先进，措施完善，可操作性强</w:t>
            </w:r>
            <w:r>
              <w:rPr>
                <w:rFonts w:ascii="宋体" w:hAnsi="宋体"/>
                <w:szCs w:val="21"/>
              </w:rPr>
              <w:t>6</w:t>
            </w:r>
            <w:r>
              <w:rPr>
                <w:rFonts w:hint="eastAsia" w:ascii="宋体" w:hAnsi="宋体"/>
                <w:szCs w:val="21"/>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continue"/>
            <w:vAlign w:val="center"/>
          </w:tcPr>
          <w:p>
            <w:pPr>
              <w:spacing w:line="160" w:lineRule="atLeast"/>
              <w:jc w:val="center"/>
              <w:rPr>
                <w:rFonts w:ascii="宋体" w:hAnsi="宋体"/>
                <w:szCs w:val="21"/>
              </w:rPr>
            </w:pPr>
          </w:p>
        </w:tc>
        <w:tc>
          <w:tcPr>
            <w:tcW w:w="280" w:type="pct"/>
            <w:vMerge w:val="continue"/>
            <w:vAlign w:val="center"/>
          </w:tcPr>
          <w:p>
            <w:pPr>
              <w:spacing w:line="160" w:lineRule="atLeast"/>
              <w:jc w:val="center"/>
              <w:rPr>
                <w:rFonts w:ascii="宋体" w:hAnsi="宋体"/>
                <w:szCs w:val="21"/>
              </w:rPr>
            </w:pPr>
          </w:p>
        </w:tc>
        <w:tc>
          <w:tcPr>
            <w:tcW w:w="2718" w:type="pct"/>
            <w:vAlign w:val="center"/>
          </w:tcPr>
          <w:p>
            <w:pPr>
              <w:spacing w:line="160" w:lineRule="atLeast"/>
              <w:jc w:val="left"/>
              <w:rPr>
                <w:rFonts w:ascii="宋体" w:hAnsi="宋体"/>
                <w:szCs w:val="21"/>
              </w:rPr>
            </w:pPr>
            <w:r>
              <w:rPr>
                <w:rFonts w:hint="eastAsia" w:ascii="宋体" w:hAnsi="宋体"/>
                <w:szCs w:val="21"/>
              </w:rPr>
              <w:t>合理，可行</w:t>
            </w:r>
            <w:r>
              <w:rPr>
                <w:rFonts w:ascii="宋体" w:hAnsi="宋体"/>
                <w:szCs w:val="21"/>
              </w:rPr>
              <w:t>4.8-6</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continue"/>
            <w:vAlign w:val="center"/>
          </w:tcPr>
          <w:p>
            <w:pPr>
              <w:spacing w:line="160" w:lineRule="atLeast"/>
              <w:jc w:val="center"/>
              <w:rPr>
                <w:rFonts w:ascii="宋体" w:hAnsi="宋体"/>
                <w:szCs w:val="21"/>
              </w:rPr>
            </w:pPr>
          </w:p>
        </w:tc>
        <w:tc>
          <w:tcPr>
            <w:tcW w:w="280" w:type="pct"/>
            <w:vMerge w:val="continue"/>
            <w:vAlign w:val="center"/>
          </w:tcPr>
          <w:p>
            <w:pPr>
              <w:spacing w:line="160" w:lineRule="atLeast"/>
              <w:jc w:val="center"/>
              <w:rPr>
                <w:rFonts w:ascii="宋体" w:hAnsi="宋体"/>
                <w:szCs w:val="21"/>
              </w:rPr>
            </w:pPr>
          </w:p>
        </w:tc>
        <w:tc>
          <w:tcPr>
            <w:tcW w:w="2718" w:type="pct"/>
            <w:vAlign w:val="center"/>
          </w:tcPr>
          <w:p>
            <w:pPr>
              <w:spacing w:line="160" w:lineRule="atLeast"/>
              <w:jc w:val="left"/>
              <w:rPr>
                <w:rFonts w:ascii="宋体" w:hAnsi="宋体"/>
                <w:szCs w:val="21"/>
              </w:rPr>
            </w:pPr>
            <w:r>
              <w:rPr>
                <w:rFonts w:hint="eastAsia" w:ascii="宋体" w:hAnsi="宋体"/>
                <w:szCs w:val="21"/>
              </w:rPr>
              <w:t>缺项或</w:t>
            </w:r>
            <w:r>
              <w:rPr>
                <w:rFonts w:ascii="宋体" w:hAnsi="宋体"/>
                <w:szCs w:val="21"/>
              </w:rPr>
              <w:t>不合理</w:t>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restart"/>
            <w:vAlign w:val="center"/>
          </w:tcPr>
          <w:p>
            <w:pPr>
              <w:spacing w:line="160" w:lineRule="atLeast"/>
              <w:jc w:val="center"/>
              <w:rPr>
                <w:rFonts w:ascii="宋体" w:hAnsi="宋体"/>
                <w:szCs w:val="21"/>
              </w:rPr>
            </w:pPr>
            <w:r>
              <w:rPr>
                <w:rFonts w:hint="eastAsia" w:ascii="宋体" w:hAnsi="宋体"/>
                <w:szCs w:val="21"/>
              </w:rPr>
              <w:t>对检测出的问题类型提出切实可行的处理建议和维修方案</w:t>
            </w:r>
          </w:p>
          <w:p>
            <w:pPr>
              <w:spacing w:line="160" w:lineRule="atLeast"/>
              <w:jc w:val="center"/>
              <w:rPr>
                <w:rFonts w:ascii="宋体" w:hAnsi="宋体"/>
                <w:szCs w:val="21"/>
              </w:rPr>
            </w:pPr>
            <w:r>
              <w:rPr>
                <w:rFonts w:hint="eastAsia" w:ascii="宋体" w:hAnsi="宋体"/>
                <w:szCs w:val="21"/>
              </w:rPr>
              <w:t>8分</w:t>
            </w:r>
          </w:p>
        </w:tc>
        <w:tc>
          <w:tcPr>
            <w:tcW w:w="280" w:type="pct"/>
            <w:vMerge w:val="restart"/>
            <w:vAlign w:val="center"/>
          </w:tcPr>
          <w:p>
            <w:pPr>
              <w:spacing w:line="160" w:lineRule="atLeast"/>
              <w:jc w:val="center"/>
              <w:rPr>
                <w:rFonts w:ascii="宋体" w:hAnsi="宋体"/>
                <w:szCs w:val="21"/>
              </w:rPr>
            </w:pPr>
            <w:r>
              <w:rPr>
                <w:rFonts w:hint="eastAsia" w:ascii="宋体" w:hAnsi="宋体"/>
                <w:szCs w:val="21"/>
              </w:rPr>
              <w:t>8分</w:t>
            </w:r>
          </w:p>
        </w:tc>
        <w:tc>
          <w:tcPr>
            <w:tcW w:w="2718" w:type="pct"/>
            <w:vAlign w:val="center"/>
          </w:tcPr>
          <w:p>
            <w:pPr>
              <w:spacing w:line="160" w:lineRule="atLeast"/>
              <w:jc w:val="left"/>
              <w:rPr>
                <w:rFonts w:ascii="宋体" w:hAnsi="宋体"/>
                <w:szCs w:val="21"/>
              </w:rPr>
            </w:pPr>
            <w:r>
              <w:rPr>
                <w:rFonts w:hint="eastAsia" w:ascii="宋体" w:hAnsi="宋体"/>
                <w:szCs w:val="21"/>
              </w:rPr>
              <w:t>科学先进，措施完善，可操作性强</w:t>
            </w:r>
            <w:r>
              <w:rPr>
                <w:rFonts w:ascii="宋体" w:hAnsi="宋体"/>
                <w:szCs w:val="21"/>
              </w:rPr>
              <w:t>6</w:t>
            </w:r>
            <w:r>
              <w:rPr>
                <w:rFonts w:hint="eastAsia" w:ascii="宋体" w:hAnsi="宋体"/>
                <w:szCs w:val="21"/>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continue"/>
            <w:vAlign w:val="center"/>
          </w:tcPr>
          <w:p>
            <w:pPr>
              <w:spacing w:line="160" w:lineRule="atLeast"/>
              <w:jc w:val="center"/>
              <w:rPr>
                <w:rFonts w:ascii="宋体" w:hAnsi="宋体"/>
                <w:szCs w:val="21"/>
              </w:rPr>
            </w:pPr>
          </w:p>
        </w:tc>
        <w:tc>
          <w:tcPr>
            <w:tcW w:w="280" w:type="pct"/>
            <w:vMerge w:val="continue"/>
            <w:vAlign w:val="center"/>
          </w:tcPr>
          <w:p>
            <w:pPr>
              <w:spacing w:line="160" w:lineRule="atLeast"/>
              <w:jc w:val="center"/>
              <w:rPr>
                <w:rFonts w:ascii="宋体" w:hAnsi="宋体"/>
                <w:szCs w:val="21"/>
              </w:rPr>
            </w:pPr>
          </w:p>
        </w:tc>
        <w:tc>
          <w:tcPr>
            <w:tcW w:w="2718" w:type="pct"/>
            <w:vAlign w:val="center"/>
          </w:tcPr>
          <w:p>
            <w:pPr>
              <w:spacing w:line="160" w:lineRule="atLeast"/>
              <w:jc w:val="left"/>
              <w:rPr>
                <w:rFonts w:ascii="宋体" w:hAnsi="宋体"/>
                <w:szCs w:val="21"/>
              </w:rPr>
            </w:pPr>
            <w:r>
              <w:rPr>
                <w:rFonts w:hint="eastAsia" w:ascii="宋体" w:hAnsi="宋体"/>
                <w:szCs w:val="21"/>
              </w:rPr>
              <w:t>合理，可行</w:t>
            </w:r>
            <w:r>
              <w:rPr>
                <w:rFonts w:ascii="宋体" w:hAnsi="宋体"/>
                <w:szCs w:val="21"/>
              </w:rPr>
              <w:t>4.8</w:t>
            </w:r>
            <w:r>
              <w:rPr>
                <w:rFonts w:hint="eastAsia" w:ascii="宋体" w:hAnsi="宋体"/>
                <w:szCs w:val="21"/>
              </w:rPr>
              <w:t>-</w:t>
            </w:r>
            <w:r>
              <w:rPr>
                <w:rFonts w:ascii="宋体" w:hAnsi="宋体"/>
                <w:szCs w:val="21"/>
              </w:rPr>
              <w:t>6</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continue"/>
            <w:vAlign w:val="center"/>
          </w:tcPr>
          <w:p>
            <w:pPr>
              <w:spacing w:line="160" w:lineRule="atLeast"/>
              <w:jc w:val="center"/>
              <w:rPr>
                <w:rFonts w:ascii="宋体" w:hAnsi="宋体"/>
                <w:szCs w:val="21"/>
              </w:rPr>
            </w:pPr>
          </w:p>
        </w:tc>
        <w:tc>
          <w:tcPr>
            <w:tcW w:w="280" w:type="pct"/>
            <w:vMerge w:val="continue"/>
            <w:vAlign w:val="center"/>
          </w:tcPr>
          <w:p>
            <w:pPr>
              <w:spacing w:line="160" w:lineRule="atLeast"/>
              <w:jc w:val="center"/>
              <w:rPr>
                <w:rFonts w:ascii="宋体" w:hAnsi="宋体"/>
                <w:szCs w:val="21"/>
              </w:rPr>
            </w:pPr>
          </w:p>
        </w:tc>
        <w:tc>
          <w:tcPr>
            <w:tcW w:w="2718" w:type="pct"/>
            <w:vAlign w:val="center"/>
          </w:tcPr>
          <w:p>
            <w:pPr>
              <w:spacing w:line="160" w:lineRule="atLeast"/>
              <w:jc w:val="left"/>
              <w:rPr>
                <w:rFonts w:ascii="宋体" w:hAnsi="宋体"/>
                <w:szCs w:val="21"/>
              </w:rPr>
            </w:pPr>
            <w:r>
              <w:rPr>
                <w:rFonts w:hint="eastAsia" w:ascii="宋体" w:hAnsi="宋体"/>
                <w:szCs w:val="21"/>
              </w:rPr>
              <w:t>缺项或</w:t>
            </w:r>
            <w:r>
              <w:rPr>
                <w:rFonts w:ascii="宋体" w:hAnsi="宋体"/>
                <w:szCs w:val="21"/>
              </w:rPr>
              <w:t>不合理</w:t>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restart"/>
            <w:vAlign w:val="center"/>
          </w:tcPr>
          <w:p>
            <w:pPr>
              <w:spacing w:line="160" w:lineRule="atLeast"/>
              <w:jc w:val="center"/>
              <w:rPr>
                <w:rFonts w:ascii="宋体" w:hAnsi="宋体"/>
                <w:szCs w:val="21"/>
              </w:rPr>
            </w:pPr>
            <w:r>
              <w:rPr>
                <w:rFonts w:hint="eastAsia" w:ascii="宋体" w:hAnsi="宋体"/>
                <w:szCs w:val="21"/>
              </w:rPr>
              <w:t>承诺出具的检测成果及后续服务</w:t>
            </w:r>
          </w:p>
          <w:p>
            <w:pPr>
              <w:spacing w:line="160" w:lineRule="atLeast"/>
              <w:jc w:val="center"/>
              <w:rPr>
                <w:rFonts w:ascii="宋体" w:hAnsi="宋体"/>
                <w:szCs w:val="21"/>
              </w:rPr>
            </w:pPr>
            <w:r>
              <w:rPr>
                <w:rFonts w:hint="eastAsia" w:ascii="宋体" w:hAnsi="宋体"/>
                <w:szCs w:val="21"/>
              </w:rPr>
              <w:t>8分</w:t>
            </w:r>
          </w:p>
        </w:tc>
        <w:tc>
          <w:tcPr>
            <w:tcW w:w="280" w:type="pct"/>
            <w:vMerge w:val="restart"/>
            <w:vAlign w:val="center"/>
          </w:tcPr>
          <w:p>
            <w:pPr>
              <w:spacing w:line="160" w:lineRule="atLeast"/>
              <w:jc w:val="center"/>
              <w:rPr>
                <w:rFonts w:ascii="宋体" w:hAnsi="宋体"/>
                <w:szCs w:val="21"/>
              </w:rPr>
            </w:pPr>
            <w:r>
              <w:rPr>
                <w:rFonts w:hint="eastAsia" w:ascii="宋体" w:hAnsi="宋体"/>
                <w:szCs w:val="21"/>
              </w:rPr>
              <w:t>8分</w:t>
            </w:r>
          </w:p>
        </w:tc>
        <w:tc>
          <w:tcPr>
            <w:tcW w:w="2718" w:type="pct"/>
            <w:vAlign w:val="center"/>
          </w:tcPr>
          <w:p>
            <w:pPr>
              <w:spacing w:line="160" w:lineRule="atLeast"/>
              <w:jc w:val="left"/>
              <w:rPr>
                <w:rFonts w:ascii="宋体" w:hAnsi="宋体"/>
                <w:szCs w:val="21"/>
              </w:rPr>
            </w:pPr>
            <w:r>
              <w:rPr>
                <w:rFonts w:hint="eastAsia" w:ascii="宋体" w:hAnsi="宋体"/>
                <w:szCs w:val="21"/>
              </w:rPr>
              <w:t>检测成果符合国家规范要求，后续服务完善</w:t>
            </w:r>
            <w:r>
              <w:rPr>
                <w:rFonts w:ascii="宋体" w:hAnsi="宋体"/>
                <w:szCs w:val="21"/>
              </w:rPr>
              <w:t>6</w:t>
            </w:r>
            <w:r>
              <w:rPr>
                <w:rFonts w:hint="eastAsia" w:ascii="宋体" w:hAnsi="宋体"/>
                <w:szCs w:val="21"/>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continue"/>
            <w:vAlign w:val="center"/>
          </w:tcPr>
          <w:p>
            <w:pPr>
              <w:spacing w:line="160" w:lineRule="atLeast"/>
              <w:jc w:val="center"/>
              <w:rPr>
                <w:rFonts w:ascii="宋体" w:hAnsi="宋体"/>
                <w:szCs w:val="21"/>
              </w:rPr>
            </w:pPr>
          </w:p>
        </w:tc>
        <w:tc>
          <w:tcPr>
            <w:tcW w:w="280" w:type="pct"/>
            <w:vMerge w:val="continue"/>
            <w:vAlign w:val="center"/>
          </w:tcPr>
          <w:p>
            <w:pPr>
              <w:spacing w:line="160" w:lineRule="atLeast"/>
              <w:jc w:val="center"/>
              <w:rPr>
                <w:rFonts w:ascii="宋体" w:hAnsi="宋体"/>
                <w:szCs w:val="21"/>
              </w:rPr>
            </w:pPr>
          </w:p>
        </w:tc>
        <w:tc>
          <w:tcPr>
            <w:tcW w:w="2718" w:type="pct"/>
            <w:vAlign w:val="center"/>
          </w:tcPr>
          <w:p>
            <w:pPr>
              <w:spacing w:line="160" w:lineRule="atLeast"/>
              <w:jc w:val="left"/>
              <w:rPr>
                <w:rFonts w:ascii="宋体" w:hAnsi="宋体"/>
                <w:szCs w:val="21"/>
              </w:rPr>
            </w:pPr>
            <w:r>
              <w:rPr>
                <w:rFonts w:hint="eastAsia" w:ascii="宋体" w:hAnsi="宋体"/>
                <w:szCs w:val="21"/>
              </w:rPr>
              <w:t>检测成果符合国家规范要求，后续服务较完善</w:t>
            </w:r>
            <w:r>
              <w:rPr>
                <w:rFonts w:ascii="宋体" w:hAnsi="宋体"/>
                <w:szCs w:val="21"/>
              </w:rPr>
              <w:t>4.8</w:t>
            </w:r>
            <w:r>
              <w:rPr>
                <w:rFonts w:hint="eastAsia" w:ascii="宋体" w:hAnsi="宋体"/>
                <w:szCs w:val="21"/>
              </w:rPr>
              <w:t>-</w:t>
            </w:r>
            <w:r>
              <w:rPr>
                <w:rFonts w:ascii="宋体" w:hAnsi="宋体"/>
                <w:szCs w:val="21"/>
              </w:rPr>
              <w:t>6</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continue"/>
            <w:vAlign w:val="center"/>
          </w:tcPr>
          <w:p>
            <w:pPr>
              <w:spacing w:line="160" w:lineRule="atLeast"/>
              <w:jc w:val="center"/>
              <w:rPr>
                <w:rFonts w:ascii="宋体" w:hAnsi="宋体"/>
                <w:szCs w:val="21"/>
              </w:rPr>
            </w:pPr>
          </w:p>
        </w:tc>
        <w:tc>
          <w:tcPr>
            <w:tcW w:w="280" w:type="pct"/>
            <w:vMerge w:val="continue"/>
            <w:vAlign w:val="center"/>
          </w:tcPr>
          <w:p>
            <w:pPr>
              <w:spacing w:line="160" w:lineRule="atLeast"/>
              <w:jc w:val="center"/>
              <w:rPr>
                <w:rFonts w:ascii="宋体" w:hAnsi="宋体"/>
                <w:szCs w:val="21"/>
              </w:rPr>
            </w:pPr>
          </w:p>
        </w:tc>
        <w:tc>
          <w:tcPr>
            <w:tcW w:w="2718" w:type="pct"/>
            <w:vAlign w:val="center"/>
          </w:tcPr>
          <w:p>
            <w:pPr>
              <w:spacing w:line="160" w:lineRule="atLeast"/>
              <w:jc w:val="left"/>
              <w:rPr>
                <w:rFonts w:ascii="宋体" w:hAnsi="宋体"/>
                <w:szCs w:val="21"/>
              </w:rPr>
            </w:pPr>
            <w:r>
              <w:rPr>
                <w:rFonts w:hint="eastAsia" w:ascii="宋体" w:hAnsi="宋体"/>
                <w:szCs w:val="21"/>
              </w:rPr>
              <w:t>缺项0分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restart"/>
            <w:vAlign w:val="center"/>
          </w:tcPr>
          <w:p>
            <w:pPr>
              <w:spacing w:line="160" w:lineRule="atLeast"/>
              <w:jc w:val="center"/>
              <w:rPr>
                <w:rFonts w:ascii="宋体" w:hAnsi="宋体"/>
                <w:szCs w:val="21"/>
              </w:rPr>
            </w:pPr>
            <w:r>
              <w:rPr>
                <w:rFonts w:hint="eastAsia" w:ascii="宋体" w:hAnsi="宋体"/>
                <w:szCs w:val="21"/>
              </w:rPr>
              <w:t>重点、难点分析</w:t>
            </w:r>
          </w:p>
          <w:p>
            <w:pPr>
              <w:spacing w:line="160" w:lineRule="atLeast"/>
              <w:jc w:val="center"/>
              <w:rPr>
                <w:rFonts w:ascii="宋体" w:hAnsi="宋体"/>
                <w:szCs w:val="21"/>
              </w:rPr>
            </w:pPr>
            <w:r>
              <w:rPr>
                <w:rFonts w:hint="eastAsia" w:ascii="宋体" w:hAnsi="宋体"/>
                <w:szCs w:val="21"/>
              </w:rPr>
              <w:t>5分</w:t>
            </w:r>
          </w:p>
        </w:tc>
        <w:tc>
          <w:tcPr>
            <w:tcW w:w="280" w:type="pct"/>
            <w:vMerge w:val="restart"/>
            <w:vAlign w:val="center"/>
          </w:tcPr>
          <w:p>
            <w:pPr>
              <w:spacing w:line="160" w:lineRule="atLeast"/>
              <w:jc w:val="center"/>
              <w:rPr>
                <w:rFonts w:ascii="宋体" w:hAnsi="宋体"/>
                <w:szCs w:val="21"/>
              </w:rPr>
            </w:pPr>
            <w:r>
              <w:rPr>
                <w:rFonts w:hint="eastAsia" w:ascii="宋体" w:hAnsi="宋体"/>
                <w:szCs w:val="21"/>
              </w:rPr>
              <w:t>5分</w:t>
            </w:r>
          </w:p>
        </w:tc>
        <w:tc>
          <w:tcPr>
            <w:tcW w:w="2718" w:type="pct"/>
            <w:vAlign w:val="center"/>
          </w:tcPr>
          <w:p>
            <w:pPr>
              <w:spacing w:line="160" w:lineRule="atLeast"/>
              <w:jc w:val="left"/>
              <w:rPr>
                <w:rFonts w:ascii="宋体" w:hAnsi="宋体"/>
                <w:szCs w:val="21"/>
              </w:rPr>
            </w:pPr>
            <w:r>
              <w:rPr>
                <w:rFonts w:hint="eastAsia" w:ascii="宋体" w:hAnsi="宋体"/>
                <w:szCs w:val="21"/>
              </w:rPr>
              <w:t>科学先进，措施完善，可操作性强</w:t>
            </w:r>
            <w:r>
              <w:rPr>
                <w:rFonts w:ascii="宋体" w:hAnsi="宋体"/>
                <w:szCs w:val="21"/>
              </w:rPr>
              <w:t>4</w:t>
            </w:r>
            <w:r>
              <w:rPr>
                <w:rFonts w:hint="eastAsia" w:ascii="宋体" w:hAnsi="宋体"/>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continue"/>
            <w:vAlign w:val="center"/>
          </w:tcPr>
          <w:p>
            <w:pPr>
              <w:spacing w:line="160" w:lineRule="atLeast"/>
              <w:jc w:val="center"/>
              <w:rPr>
                <w:rFonts w:ascii="宋体" w:hAnsi="宋体"/>
                <w:szCs w:val="21"/>
              </w:rPr>
            </w:pPr>
          </w:p>
        </w:tc>
        <w:tc>
          <w:tcPr>
            <w:tcW w:w="280" w:type="pct"/>
            <w:vMerge w:val="continue"/>
            <w:vAlign w:val="center"/>
          </w:tcPr>
          <w:p>
            <w:pPr>
              <w:spacing w:line="160" w:lineRule="atLeast"/>
              <w:jc w:val="center"/>
              <w:rPr>
                <w:rFonts w:ascii="宋体" w:hAnsi="宋体"/>
                <w:szCs w:val="21"/>
              </w:rPr>
            </w:pPr>
          </w:p>
        </w:tc>
        <w:tc>
          <w:tcPr>
            <w:tcW w:w="2718" w:type="pct"/>
            <w:vAlign w:val="center"/>
          </w:tcPr>
          <w:p>
            <w:pPr>
              <w:spacing w:line="160" w:lineRule="atLeast"/>
              <w:jc w:val="left"/>
              <w:rPr>
                <w:rFonts w:ascii="宋体" w:hAnsi="宋体"/>
                <w:szCs w:val="21"/>
              </w:rPr>
            </w:pPr>
            <w:r>
              <w:rPr>
                <w:rFonts w:hint="eastAsia" w:ascii="宋体" w:hAnsi="宋体"/>
                <w:szCs w:val="21"/>
              </w:rPr>
              <w:t>合理，可行</w:t>
            </w:r>
            <w:r>
              <w:rPr>
                <w:rFonts w:ascii="宋体" w:hAnsi="宋体"/>
                <w:szCs w:val="21"/>
              </w:rPr>
              <w:t>3</w:t>
            </w:r>
            <w:r>
              <w:rPr>
                <w:rFonts w:hint="eastAsia" w:ascii="宋体" w:hAnsi="宋体"/>
                <w:szCs w:val="21"/>
              </w:rPr>
              <w:t>-</w:t>
            </w:r>
            <w:r>
              <w:rPr>
                <w:rFonts w:ascii="宋体" w:hAnsi="宋体"/>
                <w:szCs w:val="21"/>
              </w:rPr>
              <w:t>4</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spacing w:line="160" w:lineRule="atLeast"/>
              <w:jc w:val="center"/>
              <w:rPr>
                <w:rFonts w:ascii="宋体" w:hAnsi="宋体"/>
                <w:szCs w:val="21"/>
              </w:rPr>
            </w:pPr>
          </w:p>
        </w:tc>
        <w:tc>
          <w:tcPr>
            <w:tcW w:w="329" w:type="pct"/>
            <w:vMerge w:val="continue"/>
            <w:vAlign w:val="center"/>
          </w:tcPr>
          <w:p>
            <w:pPr>
              <w:spacing w:line="160" w:lineRule="atLeast"/>
              <w:jc w:val="center"/>
              <w:rPr>
                <w:rFonts w:ascii="宋体" w:hAnsi="宋体"/>
                <w:szCs w:val="21"/>
              </w:rPr>
            </w:pPr>
          </w:p>
        </w:tc>
        <w:tc>
          <w:tcPr>
            <w:tcW w:w="371" w:type="pct"/>
            <w:vMerge w:val="continue"/>
            <w:vAlign w:val="center"/>
          </w:tcPr>
          <w:p>
            <w:pPr>
              <w:spacing w:line="160" w:lineRule="atLeast"/>
              <w:jc w:val="center"/>
              <w:rPr>
                <w:rFonts w:ascii="宋体" w:hAnsi="宋体"/>
                <w:szCs w:val="21"/>
              </w:rPr>
            </w:pPr>
          </w:p>
        </w:tc>
        <w:tc>
          <w:tcPr>
            <w:tcW w:w="906" w:type="pct"/>
            <w:vMerge w:val="continue"/>
            <w:vAlign w:val="center"/>
          </w:tcPr>
          <w:p>
            <w:pPr>
              <w:spacing w:line="160" w:lineRule="atLeast"/>
              <w:jc w:val="center"/>
              <w:rPr>
                <w:rFonts w:ascii="宋体" w:hAnsi="宋体"/>
                <w:szCs w:val="21"/>
              </w:rPr>
            </w:pPr>
          </w:p>
        </w:tc>
        <w:tc>
          <w:tcPr>
            <w:tcW w:w="280" w:type="pct"/>
            <w:vMerge w:val="continue"/>
            <w:vAlign w:val="center"/>
          </w:tcPr>
          <w:p>
            <w:pPr>
              <w:spacing w:line="160" w:lineRule="atLeast"/>
              <w:jc w:val="center"/>
              <w:rPr>
                <w:rFonts w:ascii="宋体" w:hAnsi="宋体"/>
                <w:szCs w:val="21"/>
              </w:rPr>
            </w:pPr>
          </w:p>
        </w:tc>
        <w:tc>
          <w:tcPr>
            <w:tcW w:w="2718" w:type="pct"/>
            <w:vAlign w:val="center"/>
          </w:tcPr>
          <w:p>
            <w:pPr>
              <w:spacing w:line="160" w:lineRule="atLeast"/>
              <w:jc w:val="left"/>
              <w:rPr>
                <w:rFonts w:ascii="宋体" w:hAnsi="宋体"/>
                <w:szCs w:val="21"/>
              </w:rPr>
            </w:pPr>
            <w:r>
              <w:rPr>
                <w:rFonts w:hint="eastAsia" w:ascii="宋体" w:hAnsi="宋体"/>
                <w:szCs w:val="21"/>
              </w:rPr>
              <w:t>缺项或</w:t>
            </w:r>
            <w:r>
              <w:rPr>
                <w:rFonts w:ascii="宋体" w:hAnsi="宋体"/>
                <w:szCs w:val="21"/>
              </w:rPr>
              <w:t>不合理</w:t>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op w:val="nil"/>
            </w:tcBorders>
            <w:vAlign w:val="center"/>
          </w:tcPr>
          <w:p>
            <w:pPr>
              <w:spacing w:line="160" w:lineRule="atLeast"/>
              <w:jc w:val="center"/>
              <w:rPr>
                <w:rFonts w:ascii="宋体" w:hAnsi="宋体"/>
                <w:szCs w:val="21"/>
              </w:rPr>
            </w:pPr>
            <w:r>
              <w:rPr>
                <w:rFonts w:hint="eastAsia" w:ascii="宋体" w:hAnsi="宋体"/>
                <w:szCs w:val="21"/>
              </w:rPr>
              <w:t>2.2.4（2）</w:t>
            </w:r>
          </w:p>
        </w:tc>
        <w:tc>
          <w:tcPr>
            <w:tcW w:w="329" w:type="pct"/>
            <w:tcBorders>
              <w:top w:val="nil"/>
            </w:tcBorders>
            <w:vAlign w:val="center"/>
          </w:tcPr>
          <w:p>
            <w:pPr>
              <w:spacing w:line="160" w:lineRule="atLeast"/>
              <w:jc w:val="center"/>
              <w:rPr>
                <w:rFonts w:ascii="宋体" w:hAnsi="宋体"/>
                <w:szCs w:val="21"/>
              </w:rPr>
            </w:pPr>
            <w:r>
              <w:rPr>
                <w:rFonts w:hint="eastAsia" w:ascii="宋体" w:hAnsi="宋体"/>
                <w:szCs w:val="21"/>
              </w:rPr>
              <w:t>主要人员</w:t>
            </w:r>
          </w:p>
        </w:tc>
        <w:tc>
          <w:tcPr>
            <w:tcW w:w="371" w:type="pct"/>
            <w:tcBorders>
              <w:top w:val="nil"/>
              <w:bottom w:val="single" w:color="auto" w:sz="4" w:space="0"/>
            </w:tcBorders>
            <w:vAlign w:val="center"/>
          </w:tcPr>
          <w:p>
            <w:pPr>
              <w:spacing w:line="160" w:lineRule="atLeast"/>
              <w:jc w:val="center"/>
              <w:rPr>
                <w:rFonts w:ascii="宋体" w:hAnsi="宋体"/>
                <w:szCs w:val="21"/>
              </w:rPr>
            </w:pPr>
            <w:r>
              <w:rPr>
                <w:rFonts w:hint="eastAsia" w:ascii="宋体" w:hAnsi="宋体"/>
                <w:szCs w:val="21"/>
              </w:rPr>
              <w:t>20分</w:t>
            </w:r>
          </w:p>
        </w:tc>
        <w:tc>
          <w:tcPr>
            <w:tcW w:w="906" w:type="pct"/>
            <w:tcBorders>
              <w:bottom w:val="single" w:color="auto" w:sz="4" w:space="0"/>
            </w:tcBorders>
            <w:vAlign w:val="center"/>
          </w:tcPr>
          <w:p>
            <w:pPr>
              <w:spacing w:line="160" w:lineRule="atLeast"/>
              <w:jc w:val="center"/>
              <w:rPr>
                <w:rFonts w:ascii="宋体" w:hAnsi="宋体"/>
                <w:szCs w:val="21"/>
              </w:rPr>
            </w:pPr>
            <w:r>
              <w:t>项目负责人</w:t>
            </w:r>
          </w:p>
        </w:tc>
        <w:tc>
          <w:tcPr>
            <w:tcW w:w="280" w:type="pct"/>
            <w:tcBorders>
              <w:bottom w:val="single" w:color="auto" w:sz="4" w:space="0"/>
            </w:tcBorders>
            <w:vAlign w:val="center"/>
          </w:tcPr>
          <w:p>
            <w:pPr>
              <w:spacing w:line="160" w:lineRule="atLeast"/>
              <w:jc w:val="center"/>
              <w:rPr>
                <w:rFonts w:ascii="宋体" w:hAnsi="宋体"/>
                <w:szCs w:val="21"/>
              </w:rPr>
            </w:pPr>
            <w:r>
              <w:rPr>
                <w:rFonts w:hint="eastAsia" w:ascii="宋体" w:hAnsi="宋体"/>
                <w:szCs w:val="21"/>
              </w:rPr>
              <w:t>20分</w:t>
            </w:r>
          </w:p>
        </w:tc>
        <w:tc>
          <w:tcPr>
            <w:tcW w:w="2718" w:type="pct"/>
            <w:tcBorders>
              <w:bottom w:val="single" w:color="auto" w:sz="4" w:space="0"/>
            </w:tcBorders>
            <w:vAlign w:val="center"/>
          </w:tcPr>
          <w:p>
            <w:pPr>
              <w:jc w:val="left"/>
              <w:rPr>
                <w:rFonts w:ascii="宋体" w:hAnsi="宋体"/>
                <w:szCs w:val="21"/>
              </w:rPr>
            </w:pPr>
            <w:r>
              <w:rPr>
                <w:rFonts w:hint="eastAsia" w:ascii="宋体" w:hAnsi="宋体"/>
                <w:szCs w:val="21"/>
              </w:rPr>
              <w:t>满足资格审查条件要求得12分；</w:t>
            </w:r>
          </w:p>
          <w:p>
            <w:pPr>
              <w:spacing w:line="160" w:lineRule="atLeast"/>
              <w:jc w:val="left"/>
              <w:rPr>
                <w:rFonts w:ascii="宋体" w:hAnsi="宋体"/>
                <w:szCs w:val="21"/>
              </w:rPr>
            </w:pPr>
            <w:r>
              <w:rPr>
                <w:rFonts w:hint="eastAsia" w:ascii="宋体" w:hAnsi="宋体"/>
                <w:szCs w:val="21"/>
              </w:rPr>
              <w:t>每增加1项满足</w:t>
            </w:r>
            <w:r>
              <w:rPr>
                <w:rFonts w:hint="eastAsia" w:ascii="宋体" w:hAnsi="宋体" w:cs="宋体"/>
                <w:b/>
                <w:kern w:val="0"/>
                <w:szCs w:val="21"/>
              </w:rPr>
              <w:t>附录</w:t>
            </w:r>
            <w:r>
              <w:rPr>
                <w:rFonts w:ascii="宋体" w:hAnsi="宋体" w:cs="宋体"/>
                <w:b/>
                <w:kern w:val="0"/>
                <w:szCs w:val="21"/>
              </w:rPr>
              <w:t>4</w:t>
            </w:r>
            <w:r>
              <w:rPr>
                <w:rFonts w:hint="eastAsia" w:ascii="宋体" w:hAnsi="宋体" w:cs="宋体"/>
                <w:b/>
                <w:kern w:val="0"/>
                <w:szCs w:val="21"/>
              </w:rPr>
              <w:t>资格审查条件</w:t>
            </w:r>
            <w:r>
              <w:rPr>
                <w:rFonts w:ascii="宋体" w:hAnsi="宋体" w:cs="宋体"/>
                <w:b/>
                <w:kern w:val="0"/>
                <w:szCs w:val="21"/>
              </w:rPr>
              <w:t>(</w:t>
            </w:r>
            <w:r>
              <w:rPr>
                <w:rFonts w:hint="eastAsia" w:ascii="宋体" w:hAnsi="宋体" w:cs="宋体"/>
                <w:b/>
                <w:kern w:val="0"/>
                <w:szCs w:val="21"/>
              </w:rPr>
              <w:t>主要人员最低要求</w:t>
            </w:r>
            <w:r>
              <w:rPr>
                <w:rFonts w:ascii="宋体" w:hAnsi="宋体" w:cs="宋体"/>
                <w:b/>
                <w:kern w:val="0"/>
                <w:szCs w:val="21"/>
              </w:rPr>
              <w:t>)</w:t>
            </w:r>
            <w:r>
              <w:rPr>
                <w:rFonts w:hint="eastAsia" w:ascii="宋体" w:hAnsi="宋体"/>
                <w:szCs w:val="21"/>
              </w:rPr>
              <w:t>的业绩加2分，本项最多加</w:t>
            </w:r>
            <w:r>
              <w:rPr>
                <w:rFonts w:ascii="宋体" w:hAnsi="宋体"/>
                <w:szCs w:val="21"/>
              </w:rPr>
              <w:t>8</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op w:val="nil"/>
            </w:tcBorders>
            <w:vAlign w:val="center"/>
          </w:tcPr>
          <w:p>
            <w:pPr>
              <w:spacing w:line="160" w:lineRule="atLeast"/>
              <w:jc w:val="center"/>
              <w:rPr>
                <w:rFonts w:ascii="宋体" w:hAnsi="宋体"/>
                <w:szCs w:val="21"/>
              </w:rPr>
            </w:pPr>
            <w:r>
              <w:rPr>
                <w:rFonts w:hint="eastAsia" w:ascii="宋体" w:hAnsi="宋体"/>
                <w:szCs w:val="21"/>
              </w:rPr>
              <w:t>2.2.4（3）</w:t>
            </w:r>
          </w:p>
        </w:tc>
        <w:tc>
          <w:tcPr>
            <w:tcW w:w="329" w:type="pct"/>
            <w:tcBorders>
              <w:top w:val="nil"/>
            </w:tcBorders>
            <w:vAlign w:val="center"/>
          </w:tcPr>
          <w:p>
            <w:pPr>
              <w:spacing w:line="160" w:lineRule="atLeast"/>
              <w:jc w:val="center"/>
              <w:rPr>
                <w:rFonts w:ascii="宋体" w:hAnsi="宋体"/>
                <w:szCs w:val="21"/>
              </w:rPr>
            </w:pPr>
            <w:r>
              <w:rPr>
                <w:rFonts w:hint="eastAsia" w:ascii="宋体" w:hAnsi="宋体"/>
                <w:szCs w:val="21"/>
              </w:rPr>
              <w:t>评标价</w:t>
            </w:r>
          </w:p>
        </w:tc>
        <w:tc>
          <w:tcPr>
            <w:tcW w:w="371" w:type="pct"/>
            <w:tcBorders>
              <w:top w:val="nil"/>
              <w:bottom w:val="single" w:color="auto" w:sz="4" w:space="0"/>
            </w:tcBorders>
            <w:vAlign w:val="center"/>
          </w:tcPr>
          <w:p>
            <w:pPr>
              <w:spacing w:line="160" w:lineRule="atLeast"/>
              <w:jc w:val="center"/>
              <w:rPr>
                <w:rFonts w:ascii="宋体" w:hAnsi="宋体"/>
                <w:szCs w:val="21"/>
              </w:rPr>
            </w:pPr>
            <w:r>
              <w:rPr>
                <w:rFonts w:hint="eastAsia" w:ascii="宋体" w:hAnsi="宋体"/>
                <w:szCs w:val="21"/>
              </w:rPr>
              <w:t>10分</w:t>
            </w:r>
          </w:p>
        </w:tc>
        <w:tc>
          <w:tcPr>
            <w:tcW w:w="3904" w:type="pct"/>
            <w:gridSpan w:val="3"/>
            <w:tcBorders>
              <w:bottom w:val="single" w:color="auto" w:sz="4" w:space="0"/>
            </w:tcBorders>
            <w:vAlign w:val="center"/>
          </w:tcPr>
          <w:p>
            <w:pPr>
              <w:jc w:val="left"/>
              <w:rPr>
                <w:rFonts w:ascii="宋体" w:hAnsi="宋体"/>
                <w:szCs w:val="21"/>
              </w:rPr>
            </w:pPr>
            <w:r>
              <w:rPr>
                <w:rFonts w:hint="eastAsia" w:ascii="宋体" w:hAnsi="宋体"/>
                <w:szCs w:val="21"/>
              </w:rPr>
              <w:t>评标价得分计算公式示例：</w:t>
            </w:r>
          </w:p>
          <w:p>
            <w:pPr>
              <w:jc w:val="left"/>
              <w:rPr>
                <w:rFonts w:ascii="宋体" w:hAnsi="宋体"/>
                <w:szCs w:val="21"/>
              </w:rPr>
            </w:pPr>
            <w:r>
              <w:rPr>
                <w:rFonts w:hint="eastAsia" w:ascii="宋体" w:hAnsi="宋体"/>
                <w:szCs w:val="21"/>
              </w:rPr>
              <w:t>（1）如果投标人的评标价＞评标基准价，则评标价得分=F-（投标人评标价-评标基准价）/评标基准价×100×E1；</w:t>
            </w:r>
          </w:p>
          <w:p>
            <w:pPr>
              <w:jc w:val="left"/>
              <w:rPr>
                <w:rFonts w:ascii="宋体" w:hAnsi="宋体"/>
                <w:szCs w:val="21"/>
              </w:rPr>
            </w:pPr>
            <w:r>
              <w:rPr>
                <w:rFonts w:hint="eastAsia" w:ascii="宋体" w:hAnsi="宋体"/>
                <w:szCs w:val="21"/>
              </w:rPr>
              <w:t>（2）如果投标人的评标价≤评标基准价，则评标价得分=F+(投标人评标价-评标基准价)/评标基准价×100×E2。</w:t>
            </w:r>
          </w:p>
          <w:p>
            <w:pPr>
              <w:jc w:val="left"/>
              <w:rPr>
                <w:rFonts w:ascii="宋体" w:hAnsi="宋体"/>
                <w:szCs w:val="21"/>
              </w:rPr>
            </w:pPr>
            <w:r>
              <w:rPr>
                <w:rFonts w:hint="eastAsia" w:ascii="宋体" w:hAnsi="宋体"/>
                <w:szCs w:val="21"/>
              </w:rPr>
              <w:t>其中，F=10；E1=0.2；E2=0.1；评标价最低得分为0分。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pPr>
              <w:spacing w:line="160" w:lineRule="atLeast"/>
              <w:jc w:val="center"/>
              <w:rPr>
                <w:rFonts w:ascii="宋体" w:hAnsi="宋体"/>
                <w:szCs w:val="21"/>
              </w:rPr>
            </w:pPr>
            <w:r>
              <w:rPr>
                <w:rFonts w:hint="eastAsia" w:ascii="宋体" w:hAnsi="宋体"/>
                <w:szCs w:val="21"/>
              </w:rPr>
              <w:t>2.2.4（4）</w:t>
            </w:r>
          </w:p>
        </w:tc>
        <w:tc>
          <w:tcPr>
            <w:tcW w:w="329" w:type="pct"/>
            <w:vAlign w:val="center"/>
          </w:tcPr>
          <w:p>
            <w:pPr>
              <w:spacing w:line="160" w:lineRule="atLeast"/>
              <w:jc w:val="center"/>
              <w:rPr>
                <w:rFonts w:ascii="宋体" w:hAnsi="宋体"/>
                <w:szCs w:val="21"/>
              </w:rPr>
            </w:pPr>
            <w:r>
              <w:rPr>
                <w:rFonts w:hint="eastAsia" w:ascii="宋体" w:hAnsi="宋体"/>
                <w:szCs w:val="21"/>
              </w:rPr>
              <w:t>其他因素</w:t>
            </w:r>
          </w:p>
        </w:tc>
        <w:tc>
          <w:tcPr>
            <w:tcW w:w="371" w:type="pct"/>
            <w:tcBorders>
              <w:top w:val="single" w:color="auto" w:sz="4" w:space="0"/>
            </w:tcBorders>
            <w:vAlign w:val="center"/>
          </w:tcPr>
          <w:p>
            <w:pPr>
              <w:spacing w:line="160" w:lineRule="atLeast"/>
              <w:jc w:val="center"/>
              <w:rPr>
                <w:rFonts w:ascii="宋体" w:hAnsi="宋体"/>
                <w:szCs w:val="21"/>
              </w:rPr>
            </w:pPr>
            <w:r>
              <w:rPr>
                <w:rFonts w:hint="eastAsia" w:ascii="宋体" w:hAnsi="宋体"/>
                <w:szCs w:val="21"/>
              </w:rPr>
              <w:t>25分</w:t>
            </w:r>
          </w:p>
        </w:tc>
        <w:tc>
          <w:tcPr>
            <w:tcW w:w="906" w:type="pct"/>
            <w:tcBorders>
              <w:top w:val="single" w:color="auto" w:sz="4" w:space="0"/>
            </w:tcBorders>
            <w:vAlign w:val="center"/>
          </w:tcPr>
          <w:p>
            <w:pPr>
              <w:spacing w:line="160" w:lineRule="atLeast"/>
              <w:jc w:val="center"/>
              <w:rPr>
                <w:rFonts w:ascii="宋体" w:hAnsi="宋体"/>
                <w:szCs w:val="21"/>
              </w:rPr>
            </w:pPr>
            <w:r>
              <w:rPr>
                <w:rFonts w:hint="eastAsia" w:ascii="宋体" w:hAnsi="宋体"/>
                <w:szCs w:val="21"/>
              </w:rPr>
              <w:t>投标人业绩</w:t>
            </w:r>
          </w:p>
        </w:tc>
        <w:tc>
          <w:tcPr>
            <w:tcW w:w="280" w:type="pct"/>
            <w:tcBorders>
              <w:top w:val="single" w:color="auto" w:sz="4" w:space="0"/>
            </w:tcBorders>
            <w:vAlign w:val="center"/>
          </w:tcPr>
          <w:p>
            <w:pPr>
              <w:spacing w:line="160" w:lineRule="atLeast"/>
              <w:jc w:val="center"/>
              <w:rPr>
                <w:rFonts w:ascii="宋体" w:hAnsi="宋体"/>
                <w:szCs w:val="21"/>
              </w:rPr>
            </w:pPr>
            <w:r>
              <w:rPr>
                <w:rFonts w:hint="eastAsia" w:ascii="宋体" w:hAnsi="宋体"/>
                <w:szCs w:val="21"/>
              </w:rPr>
              <w:t>25分</w:t>
            </w:r>
          </w:p>
        </w:tc>
        <w:tc>
          <w:tcPr>
            <w:tcW w:w="2718" w:type="pct"/>
            <w:tcBorders>
              <w:top w:val="single" w:color="auto" w:sz="4" w:space="0"/>
            </w:tcBorders>
            <w:vAlign w:val="center"/>
          </w:tcPr>
          <w:p>
            <w:pPr>
              <w:jc w:val="left"/>
              <w:rPr>
                <w:rFonts w:ascii="宋体" w:hAnsi="宋体"/>
                <w:szCs w:val="21"/>
              </w:rPr>
            </w:pPr>
            <w:r>
              <w:rPr>
                <w:rFonts w:hint="eastAsia" w:ascii="宋体" w:hAnsi="宋体"/>
                <w:szCs w:val="21"/>
              </w:rPr>
              <w:t>满足资格审查条件要求得</w:t>
            </w:r>
            <w:r>
              <w:rPr>
                <w:rFonts w:ascii="宋体" w:hAnsi="宋体"/>
                <w:szCs w:val="21"/>
              </w:rPr>
              <w:t>15</w:t>
            </w:r>
            <w:r>
              <w:rPr>
                <w:rFonts w:hint="eastAsia" w:ascii="宋体" w:hAnsi="宋体"/>
                <w:szCs w:val="21"/>
              </w:rPr>
              <w:t>分；</w:t>
            </w:r>
          </w:p>
          <w:p>
            <w:pPr>
              <w:jc w:val="left"/>
              <w:rPr>
                <w:rFonts w:ascii="宋体" w:hAnsi="宋体"/>
                <w:szCs w:val="21"/>
              </w:rPr>
            </w:pPr>
            <w:r>
              <w:rPr>
                <w:rFonts w:hint="eastAsia" w:ascii="宋体" w:hAnsi="宋体"/>
                <w:szCs w:val="21"/>
              </w:rPr>
              <w:t>每增加1项满足</w:t>
            </w:r>
            <w:r>
              <w:rPr>
                <w:rFonts w:hint="eastAsia" w:ascii="宋体" w:hAnsi="宋体"/>
                <w:b/>
                <w:szCs w:val="21"/>
              </w:rPr>
              <w:t>附录2</w:t>
            </w:r>
            <w:r>
              <w:rPr>
                <w:rFonts w:hint="eastAsia" w:ascii="宋体" w:hAnsi="宋体" w:cs="宋体"/>
                <w:b/>
                <w:spacing w:val="1"/>
                <w:kern w:val="0"/>
                <w:szCs w:val="21"/>
              </w:rPr>
              <w:t>资</w:t>
            </w:r>
            <w:r>
              <w:rPr>
                <w:rFonts w:hint="eastAsia" w:ascii="宋体" w:hAnsi="宋体" w:cs="宋体"/>
                <w:b/>
                <w:kern w:val="0"/>
                <w:szCs w:val="21"/>
              </w:rPr>
              <w:t>格审查条件</w:t>
            </w:r>
            <w:r>
              <w:rPr>
                <w:rFonts w:ascii="宋体" w:hAnsi="宋体" w:cs="宋体"/>
                <w:b/>
                <w:kern w:val="0"/>
                <w:szCs w:val="21"/>
              </w:rPr>
              <w:t>(</w:t>
            </w:r>
            <w:r>
              <w:rPr>
                <w:rFonts w:hint="eastAsia" w:ascii="宋体" w:hAnsi="宋体" w:cs="宋体"/>
                <w:b/>
                <w:kern w:val="0"/>
                <w:szCs w:val="21"/>
              </w:rPr>
              <w:t>业绩最低要求</w:t>
            </w:r>
            <w:r>
              <w:rPr>
                <w:rFonts w:ascii="宋体" w:hAnsi="宋体" w:cs="宋体"/>
                <w:b/>
                <w:kern w:val="0"/>
                <w:szCs w:val="21"/>
              </w:rPr>
              <w:t>)</w:t>
            </w:r>
            <w:r>
              <w:rPr>
                <w:rFonts w:hint="eastAsia" w:ascii="宋体" w:hAnsi="宋体"/>
                <w:szCs w:val="21"/>
              </w:rPr>
              <w:t>加2</w:t>
            </w:r>
            <w:r>
              <w:rPr>
                <w:rFonts w:ascii="宋体" w:hAnsi="宋体"/>
                <w:szCs w:val="21"/>
              </w:rPr>
              <w:t>.5</w:t>
            </w:r>
            <w:r>
              <w:rPr>
                <w:rFonts w:hint="eastAsia" w:ascii="宋体" w:hAnsi="宋体"/>
                <w:szCs w:val="21"/>
              </w:rPr>
              <w:t>分，本项最多加</w:t>
            </w:r>
            <w:r>
              <w:rPr>
                <w:rFonts w:ascii="宋体" w:hAnsi="宋体"/>
                <w:szCs w:val="21"/>
              </w:rPr>
              <w:t>10</w:t>
            </w:r>
            <w:r>
              <w:rPr>
                <w:rFonts w:hint="eastAsia" w:ascii="宋体" w:hAnsi="宋体"/>
                <w:szCs w:val="21"/>
              </w:rPr>
              <w:t>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David">
    <w:altName w:val="Segoe Print"/>
    <w:panose1 w:val="00000000000000000000"/>
    <w:charset w:val="B1"/>
    <w:family w:val="swiss"/>
    <w:pitch w:val="default"/>
    <w:sig w:usb0="00000000" w:usb1="00000000" w:usb2="00000000" w:usb3="00000000" w:csb0="00000021"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B1"/>
    <w:family w:val="swiss"/>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F7"/>
    <w:rsid w:val="00292C4F"/>
    <w:rsid w:val="00877885"/>
    <w:rsid w:val="00995FF7"/>
    <w:rsid w:val="1047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5"/>
    <w:qFormat/>
    <w:uiPriority w:val="9"/>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2 字符"/>
    <w:basedOn w:val="4"/>
    <w:link w:val="2"/>
    <w:qFormat/>
    <w:uiPriority w:val="9"/>
    <w:rPr>
      <w:rFonts w:ascii="Arial" w:hAnsi="Arial" w:eastAsia="黑体" w:cs="Times New Roman"/>
      <w:b/>
      <w:bCs/>
      <w:sz w:val="32"/>
      <w:szCs w:val="32"/>
    </w:rPr>
  </w:style>
  <w:style w:type="paragraph" w:customStyle="1" w:styleId="6">
    <w:name w:val="目录3"/>
    <w:basedOn w:val="1"/>
    <w:uiPriority w:val="0"/>
    <w:pPr>
      <w:spacing w:beforeLines="50" w:afterLines="50" w:line="400" w:lineRule="exact"/>
    </w:pPr>
    <w:rPr>
      <w:rFonts w:ascii="黑体" w:eastAsia="黑体"/>
      <w:sz w:val="24"/>
    </w:rPr>
  </w:style>
  <w:style w:type="character" w:customStyle="1" w:styleId="7">
    <w:name w:val="正文文本 (2) + David"/>
    <w:qFormat/>
    <w:uiPriority w:val="0"/>
    <w:rPr>
      <w:rFonts w:ascii="David" w:hAnsi="David" w:eastAsia="David" w:cs="David"/>
      <w:color w:val="000000"/>
      <w:spacing w:val="0"/>
      <w:w w:val="100"/>
      <w:position w:val="0"/>
      <w:sz w:val="24"/>
      <w:szCs w:val="24"/>
      <w:u w:val="none"/>
      <w:shd w:val="clear" w:color="auto" w:fill="FFFFFF"/>
      <w:lang w:val="en-US"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870</Words>
  <Characters>4963</Characters>
  <Lines>41</Lines>
  <Paragraphs>11</Paragraphs>
  <TotalTime>8</TotalTime>
  <ScaleCrop>false</ScaleCrop>
  <LinksUpToDate>false</LinksUpToDate>
  <CharactersWithSpaces>5822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2021-07-12T09:10:00Z</dcterms:created>
  <dc:creator>唐 海燕</dc:creator>
  <cp:lastModifiedBy>海棠依旧</cp:lastModifiedBy>
  <dcterms:modified xsi:type="dcterms:W3CDTF">2021-07-13T07:44:36Z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